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ДЕЛЕГИРАН РЕГЛАМЕНТ (ЕС) 2025/1475 НА КОМИСИЯТА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от 21 май 2025 година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за изменение на Регламент (ЕО) № 273/2004 на Европейския парламент и на Съвета и Регламент (ЕО) № 111/2005 на Съвета с цел добавяне на прекурсорите на наркотични вещества 4-пиперидон и 1-бок-4-пиперидон в описа на включените в списък вещества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(текст от значение за ЕИП)</w:t>
      </w:r>
    </w:p>
    <w:p w:rsidR="00074AA5" w:rsidRPr="00074AA5" w:rsidRDefault="00074AA5" w:rsidP="00074AA5">
      <w:pPr>
        <w:jc w:val="both"/>
      </w:pPr>
      <w:r w:rsidRPr="00074AA5">
        <w:t>ЕВРОПЕЙСКАТА КОМИСИЯ,</w:t>
      </w:r>
    </w:p>
    <w:p w:rsidR="00074AA5" w:rsidRPr="00074AA5" w:rsidRDefault="00074AA5" w:rsidP="00074AA5">
      <w:pPr>
        <w:jc w:val="both"/>
      </w:pPr>
      <w:r w:rsidRPr="00074AA5">
        <w:t>като взе предвид Договора за функционирането на Европейския съюз,</w:t>
      </w:r>
    </w:p>
    <w:p w:rsidR="00074AA5" w:rsidRPr="00074AA5" w:rsidRDefault="00074AA5" w:rsidP="00074AA5">
      <w:pPr>
        <w:jc w:val="both"/>
      </w:pPr>
      <w:r w:rsidRPr="00074AA5">
        <w:t>като взе предвид Регламент (ЕО) № 273/2004 на Европейския парламент и на Съвета от 11 февруари 2004 г. относно прекурсорите на наркотичните вещества </w:t>
      </w:r>
      <w:hyperlink r:id="rId6" w:anchor="ntr1-L_202501475BG.000101-E0001" w:history="1">
        <w:r w:rsidRPr="00074AA5">
          <w:rPr>
            <w:rStyle w:val="Hyperlink"/>
          </w:rPr>
          <w:t>(</w:t>
        </w:r>
        <w:r w:rsidRPr="00074AA5">
          <w:rPr>
            <w:rStyle w:val="Hyperlink"/>
            <w:vertAlign w:val="superscript"/>
          </w:rPr>
          <w:t>1</w:t>
        </w:r>
        <w:r w:rsidRPr="00074AA5">
          <w:rPr>
            <w:rStyle w:val="Hyperlink"/>
          </w:rPr>
          <w:t>)</w:t>
        </w:r>
      </w:hyperlink>
      <w:r w:rsidRPr="00074AA5">
        <w:t>, и по-специално член 15 от него,</w:t>
      </w:r>
    </w:p>
    <w:p w:rsidR="00074AA5" w:rsidRPr="00074AA5" w:rsidRDefault="00074AA5" w:rsidP="00074AA5">
      <w:pPr>
        <w:jc w:val="both"/>
      </w:pPr>
      <w:r w:rsidRPr="00074AA5">
        <w:t>като взе предвид Регламент (ЕО) № 111/2005 на Съвета от 22 декември 2004 г. за определяне на правила за мониторинг на търговията между Съюза и трети страни в областта на прекурсорите </w:t>
      </w:r>
      <w:hyperlink r:id="rId7" w:anchor="ntr2-L_202501475BG.000101-E0002" w:history="1">
        <w:r w:rsidRPr="00074AA5">
          <w:rPr>
            <w:rStyle w:val="Hyperlink"/>
          </w:rPr>
          <w:t>(</w:t>
        </w:r>
        <w:r w:rsidRPr="00074AA5">
          <w:rPr>
            <w:rStyle w:val="Hyperlink"/>
            <w:vertAlign w:val="superscript"/>
          </w:rPr>
          <w:t>2</w:t>
        </w:r>
        <w:r w:rsidRPr="00074AA5">
          <w:rPr>
            <w:rStyle w:val="Hyperlink"/>
          </w:rPr>
          <w:t>)</w:t>
        </w:r>
      </w:hyperlink>
      <w:r w:rsidRPr="00074AA5">
        <w:t>, и по-специално член 30а от него,</w:t>
      </w:r>
    </w:p>
    <w:p w:rsidR="00074AA5" w:rsidRPr="00074AA5" w:rsidRDefault="00074AA5" w:rsidP="00074AA5">
      <w:pPr>
        <w:jc w:val="both"/>
      </w:pPr>
      <w:r w:rsidRPr="00074AA5">
        <w:t>като има предвид, че: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8893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1)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С Регламент (ЕО) № 273/2004 са установени мерки за наблюдение на търговията с прекурсори на наркотични вещества в рамките на Съюза, а с Регламент (ЕО) № 111/2005 се урежда търговията с прекурсори на наркотични вещества между Съюза и трети държави. Приложение I към Регламент (ЕО) № 273/2004 и приложението към Регламент (ЕО) № 111/2005 съдържат опис на включени в списък вещества, за които се прилагат определени хармонизирани мерки за контрол и наблюдение, предвидени в двата регламента.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2)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С решения 67/6 и 67/7 на Комисията за упойващите вещества на Организацията на обединените нации, взети на шестдесет и седмата ѝ сесия от 18 до 23 март 2024 г., веществата 4-пиперидон и 1-бок-4-пиперидон бяха добавени в таблица I към Конвенцията на Организацията на обединените нации за борба срещу незаконния трафик на упойващи и психотропни вещества, приета във Виена на 19 декември 1988 г. („Конвенцията на ООН от 1988 г.“) и одобрена от името на Съюза с Решение № 90/611/ЕИО на Съвета </w:t>
            </w:r>
            <w:hyperlink r:id="rId8" w:anchor="ntr3-L_202501475BG.000101-E0003" w:history="1">
              <w:r w:rsidRPr="00074AA5">
                <w:rPr>
                  <w:rStyle w:val="Hyperlink"/>
                </w:rPr>
                <w:t>(</w:t>
              </w:r>
              <w:r w:rsidRPr="00074AA5">
                <w:rPr>
                  <w:rStyle w:val="Hyperlink"/>
                  <w:vertAlign w:val="superscript"/>
                </w:rPr>
                <w:t>3</w:t>
              </w:r>
              <w:r w:rsidRPr="00074AA5">
                <w:rPr>
                  <w:rStyle w:val="Hyperlink"/>
                </w:rPr>
                <w:t>)</w:t>
              </w:r>
            </w:hyperlink>
            <w:r w:rsidRPr="00074AA5">
              <w:t>.</w:t>
            </w:r>
          </w:p>
        </w:tc>
      </w:tr>
    </w:tbl>
    <w:p w:rsidR="00074AA5" w:rsidRPr="00074AA5" w:rsidRDefault="00074AA5" w:rsidP="00074AA5">
      <w:pPr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8893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3)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Поради това веществата 4-пиперидон и 1-бок-4-пиперидон следва да бъдат включени в приложение I към Регламент (ЕО) № 273/2004 и в приложението към Регламент (ЕО) № 111/2005.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4)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Веществото 4-пиперидон е ранен прекурсор, който се използва в повечето начини на синтез на фентанила и някои от неговите аналози. Той може да се използва за производството на N-фенетил-4-пиперидон (NPP), 4-анилино-N-фенетилпиперидин (ANPP), N-фенилпиперидин-4-амин (4-AP) и норфентанил, всички от които са изброени в таблица I от Конвенцията на ООН от 1988 г.</w:t>
            </w:r>
          </w:p>
        </w:tc>
      </w:tr>
    </w:tbl>
    <w:p w:rsidR="00074AA5" w:rsidRPr="00074AA5" w:rsidRDefault="00074AA5" w:rsidP="00074AA5">
      <w:pPr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8893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5)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Веществото 1-бок-4-пиперидон е химически защитено производно на 4-пиперидона и може да се използва за производството на </w:t>
            </w:r>
            <w:r w:rsidRPr="00074AA5">
              <w:rPr>
                <w:i/>
                <w:iCs/>
              </w:rPr>
              <w:t>трет</w:t>
            </w:r>
            <w:r w:rsidRPr="00074AA5">
              <w:t xml:space="preserve">-бутилов 1-бок-4-анилинопиперидин-1-карбоксилат (1-бок-4-AP) и впоследствие на норфентанил, като и двете вещества са включени </w:t>
            </w:r>
            <w:r w:rsidRPr="00074AA5">
              <w:lastRenderedPageBreak/>
              <w:t>в таблица I от Конвенцията на ООН от 1988 г. Веществото 1-бок-4-пиперидон може също да бъде преобразувано обратно в 4-пиперидон.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lastRenderedPageBreak/>
              <w:t>6)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Както 4-пиперидонът, така и 1-бок-4-пиперидонът са много подходящи прекурсори за незаконното производство на фентанил и неговите аналози.</w:t>
            </w:r>
          </w:p>
        </w:tc>
      </w:tr>
    </w:tbl>
    <w:p w:rsidR="00074AA5" w:rsidRPr="00074AA5" w:rsidRDefault="00074AA5" w:rsidP="00074AA5">
      <w:pPr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8893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7)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Фентанилът и аналозите му са много силни упойващи вещества, като правило от 10 до 100 пъти по-силни от хероина. Следователно малки количества 4-пиперидон и 1-бок-4-пиперидон (от порядъка на kg) са достатъчни за производството на милиони дози крайни продукти (фентанилови аналози).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8)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Поради това 4-пиперидонът и 1-бок-4-пиперидонът следва да бъдат добавени към описа на включените в списък вещества в регламентите, за да се засилят контролът и мониторингът върху тях.</w:t>
            </w:r>
          </w:p>
        </w:tc>
      </w:tr>
    </w:tbl>
    <w:p w:rsidR="00074AA5" w:rsidRPr="00074AA5" w:rsidRDefault="00074AA5" w:rsidP="00074AA5">
      <w:pPr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8782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9)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Включените в списък вещества, посочени в приложение I към Регламент (ЕО) № 273/2004 и в приложението към Регламент (ЕО) № 111/2005, са разделени на категории, за които се прилагат различни мерки, за да се постигне пропорционален баланс между степента на опасност, която представлява всяко едно конкретно вещество, и тежестта за лицата, извършващи законна търговия със съответното вещество. Най-строгите мерки за контрол и наблюдение се прилагат за веществата от категория 1.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10)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Налице са твърде ограничени сведения за законно производство и търговия с 4-пиперидон и 1-бок-4-пиперидон. Следователно включването на тези вещества в категория 1 би довело до ограничена допълнителна административна тежест за икономическите оператори и компетентните органи в Съюза.</w:t>
            </w:r>
          </w:p>
        </w:tc>
      </w:tr>
    </w:tbl>
    <w:p w:rsidR="00074AA5" w:rsidRPr="00074AA5" w:rsidRDefault="00074AA5" w:rsidP="00074AA5">
      <w:pPr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8782"/>
      </w:tblGrid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11)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С оглед на гореизложеното Регламент (ЕО) № 273/2004 и Регламент (ЕО) № 111/2005 следва да бъдат съответно изменени.</w:t>
            </w:r>
          </w:p>
        </w:tc>
      </w:tr>
      <w:tr w:rsidR="00074AA5" w:rsidRPr="00074AA5" w:rsidTr="00074AA5"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12)</w:t>
            </w:r>
          </w:p>
        </w:tc>
        <w:tc>
          <w:tcPr>
            <w:tcW w:w="0" w:type="auto"/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С Регламент (ЕО) № 273/2004 и Регламент (ЕО) № 111/2005 съвместно се прилагат някои разпоредби на Конвенцията на ООН от 1988 г. Предвид на тясната материалноправна връзка между оправомощаванията по тези два регламента е уместно измененията да се приемат само с един делегиран акт,</w:t>
            </w:r>
          </w:p>
        </w:tc>
      </w:tr>
    </w:tbl>
    <w:p w:rsidR="00074AA5" w:rsidRPr="00074AA5" w:rsidRDefault="00074AA5" w:rsidP="00074AA5">
      <w:pPr>
        <w:jc w:val="both"/>
      </w:pPr>
      <w:r w:rsidRPr="00074AA5">
        <w:t>ПРИЕ НАСТОЯЩИЯ РЕГЛАМЕНТ:</w:t>
      </w:r>
      <w:bookmarkStart w:id="0" w:name="_GoBack"/>
      <w:bookmarkEnd w:id="0"/>
    </w:p>
    <w:p w:rsidR="00074AA5" w:rsidRPr="00074AA5" w:rsidRDefault="00074AA5" w:rsidP="00074AA5">
      <w:pPr>
        <w:jc w:val="both"/>
        <w:rPr>
          <w:i/>
          <w:iCs/>
        </w:rPr>
      </w:pPr>
      <w:r w:rsidRPr="00074AA5">
        <w:rPr>
          <w:i/>
          <w:iCs/>
        </w:rPr>
        <w:t>Член 1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Изменения на Регламент (ЕО) № 273/2004</w:t>
      </w:r>
    </w:p>
    <w:p w:rsidR="00074AA5" w:rsidRPr="00074AA5" w:rsidRDefault="00074AA5" w:rsidP="00074AA5">
      <w:pPr>
        <w:jc w:val="both"/>
      </w:pPr>
      <w:r w:rsidRPr="00074AA5">
        <w:t>Приложение I към Регламент (ЕО) № 273/2004 се изменя в съответствие с приложение I към настоящия регламент.</w:t>
      </w:r>
    </w:p>
    <w:p w:rsidR="00074AA5" w:rsidRPr="00074AA5" w:rsidRDefault="00074AA5" w:rsidP="00074AA5">
      <w:pPr>
        <w:jc w:val="both"/>
        <w:rPr>
          <w:i/>
          <w:iCs/>
        </w:rPr>
      </w:pPr>
      <w:r w:rsidRPr="00074AA5">
        <w:rPr>
          <w:i/>
          <w:iCs/>
        </w:rPr>
        <w:t>Член 2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Изменения на Регламент (ЕО) № 111/2005</w:t>
      </w:r>
    </w:p>
    <w:p w:rsidR="00074AA5" w:rsidRPr="00074AA5" w:rsidRDefault="00074AA5" w:rsidP="00074AA5">
      <w:pPr>
        <w:jc w:val="both"/>
      </w:pPr>
      <w:r w:rsidRPr="00074AA5">
        <w:t>Приложението към Регламент (ЕО) № 111/2005 се изменя в съответствие с приложение II към настоящия регламент.</w:t>
      </w:r>
    </w:p>
    <w:p w:rsidR="00074AA5" w:rsidRPr="00074AA5" w:rsidRDefault="00074AA5" w:rsidP="00074AA5">
      <w:pPr>
        <w:jc w:val="both"/>
        <w:rPr>
          <w:i/>
          <w:iCs/>
        </w:rPr>
      </w:pPr>
      <w:r w:rsidRPr="00074AA5">
        <w:rPr>
          <w:i/>
          <w:iCs/>
        </w:rPr>
        <w:lastRenderedPageBreak/>
        <w:t>Член 3</w: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Влизане в сила</w:t>
      </w:r>
    </w:p>
    <w:p w:rsidR="00074AA5" w:rsidRPr="00074AA5" w:rsidRDefault="00074AA5" w:rsidP="00074AA5">
      <w:pPr>
        <w:jc w:val="both"/>
      </w:pPr>
      <w:r w:rsidRPr="00074AA5">
        <w:t>Настоящият регламент влиза в сила на двадесетия ден след деня на публикуването му в </w:t>
      </w:r>
      <w:r w:rsidRPr="00074AA5">
        <w:rPr>
          <w:i/>
          <w:iCs/>
        </w:rPr>
        <w:t>Официален вестник на Европейския съюз.</w:t>
      </w:r>
    </w:p>
    <w:p w:rsidR="00074AA5" w:rsidRPr="00074AA5" w:rsidRDefault="00074AA5" w:rsidP="00074AA5">
      <w:pPr>
        <w:jc w:val="both"/>
      </w:pPr>
      <w:r w:rsidRPr="00074AA5">
        <w:t>Настоящият регламент е задължителен в своята цялост и се прилага пряко във всички държави членки.</w:t>
      </w:r>
    </w:p>
    <w:p w:rsidR="00074AA5" w:rsidRPr="00074AA5" w:rsidRDefault="00074AA5" w:rsidP="00074AA5">
      <w:pPr>
        <w:jc w:val="both"/>
      </w:pPr>
      <w:r w:rsidRPr="00074AA5">
        <w:t>Съставено в Брюксел на 21 май 2025 година.</w:t>
      </w:r>
    </w:p>
    <w:p w:rsidR="00074AA5" w:rsidRPr="00074AA5" w:rsidRDefault="00074AA5" w:rsidP="00074AA5">
      <w:pPr>
        <w:jc w:val="both"/>
      </w:pPr>
      <w:r w:rsidRPr="00074AA5">
        <w:rPr>
          <w:i/>
          <w:iCs/>
        </w:rPr>
        <w:t>За Комисията</w:t>
      </w:r>
    </w:p>
    <w:p w:rsidR="00074AA5" w:rsidRPr="00074AA5" w:rsidRDefault="00074AA5" w:rsidP="00074AA5">
      <w:pPr>
        <w:jc w:val="both"/>
      </w:pPr>
      <w:r w:rsidRPr="00074AA5">
        <w:rPr>
          <w:i/>
          <w:iCs/>
        </w:rPr>
        <w:t>Председател</w:t>
      </w:r>
    </w:p>
    <w:p w:rsidR="00074AA5" w:rsidRPr="00074AA5" w:rsidRDefault="00074AA5" w:rsidP="00074AA5">
      <w:pPr>
        <w:jc w:val="both"/>
      </w:pPr>
      <w:r w:rsidRPr="00074AA5">
        <w:t>Ursula VON DER LEYEN</w:t>
      </w:r>
    </w:p>
    <w:p w:rsidR="00074AA5" w:rsidRPr="00074AA5" w:rsidRDefault="00074AA5" w:rsidP="00074AA5">
      <w:pPr>
        <w:jc w:val="both"/>
      </w:pPr>
      <w:r w:rsidRPr="00074AA5">
        <w:pict>
          <v:rect id="_x0000_i1025" style="width:127.05pt;height:.75pt" o:hrpct="0" o:hrstd="t" o:hrnoshade="t" o:hr="t" fillcolor="black" stroked="f"/>
        </w:pict>
      </w:r>
    </w:p>
    <w:p w:rsidR="00074AA5" w:rsidRPr="00074AA5" w:rsidRDefault="00074AA5" w:rsidP="00074AA5">
      <w:pPr>
        <w:jc w:val="both"/>
      </w:pPr>
      <w:hyperlink r:id="rId9" w:anchor="ntc1-L_202501475BG.000101-E0001" w:history="1">
        <w:r w:rsidRPr="00074AA5">
          <w:rPr>
            <w:rStyle w:val="Hyperlink"/>
          </w:rPr>
          <w:t>(</w:t>
        </w:r>
        <w:r w:rsidRPr="00074AA5">
          <w:rPr>
            <w:rStyle w:val="Hyperlink"/>
            <w:vertAlign w:val="superscript"/>
          </w:rPr>
          <w:t>1</w:t>
        </w:r>
        <w:r w:rsidRPr="00074AA5">
          <w:rPr>
            <w:rStyle w:val="Hyperlink"/>
          </w:rPr>
          <w:t>)</w:t>
        </w:r>
      </w:hyperlink>
      <w:r w:rsidRPr="00074AA5">
        <w:t>   </w:t>
      </w:r>
      <w:hyperlink r:id="rId10" w:history="1">
        <w:r w:rsidRPr="00074AA5">
          <w:rPr>
            <w:rStyle w:val="Hyperlink"/>
          </w:rPr>
          <w:t>ОВ L 47, 18.2.2004 г., стр. 1</w:t>
        </w:r>
      </w:hyperlink>
      <w:r w:rsidRPr="00074AA5">
        <w:t>, ELI: </w:t>
      </w:r>
      <w:hyperlink r:id="rId11" w:history="1">
        <w:r w:rsidRPr="00074AA5">
          <w:rPr>
            <w:rStyle w:val="Hyperlink"/>
          </w:rPr>
          <w:t>http://data.europa.eu/eli/reg/2004/273/oj</w:t>
        </w:r>
      </w:hyperlink>
      <w:r w:rsidRPr="00074AA5">
        <w:t>.</w:t>
      </w:r>
    </w:p>
    <w:p w:rsidR="00074AA5" w:rsidRPr="00074AA5" w:rsidRDefault="00074AA5" w:rsidP="00074AA5">
      <w:pPr>
        <w:jc w:val="both"/>
      </w:pPr>
      <w:hyperlink r:id="rId12" w:anchor="ntc2-L_202501475BG.000101-E0002" w:history="1">
        <w:r w:rsidRPr="00074AA5">
          <w:rPr>
            <w:rStyle w:val="Hyperlink"/>
          </w:rPr>
          <w:t>(</w:t>
        </w:r>
        <w:r w:rsidRPr="00074AA5">
          <w:rPr>
            <w:rStyle w:val="Hyperlink"/>
            <w:vertAlign w:val="superscript"/>
          </w:rPr>
          <w:t>2</w:t>
        </w:r>
        <w:r w:rsidRPr="00074AA5">
          <w:rPr>
            <w:rStyle w:val="Hyperlink"/>
          </w:rPr>
          <w:t>)</w:t>
        </w:r>
      </w:hyperlink>
      <w:r w:rsidRPr="00074AA5">
        <w:t>   </w:t>
      </w:r>
      <w:hyperlink r:id="rId13" w:history="1">
        <w:r w:rsidRPr="00074AA5">
          <w:rPr>
            <w:rStyle w:val="Hyperlink"/>
          </w:rPr>
          <w:t>ОВ L 22, 26.1.2005 г., стр. 1</w:t>
        </w:r>
      </w:hyperlink>
      <w:r w:rsidRPr="00074AA5">
        <w:t>, ELI: </w:t>
      </w:r>
      <w:hyperlink r:id="rId14" w:history="1">
        <w:r w:rsidRPr="00074AA5">
          <w:rPr>
            <w:rStyle w:val="Hyperlink"/>
          </w:rPr>
          <w:t>http://data.europa.eu/eli/reg/2005/111/oj</w:t>
        </w:r>
      </w:hyperlink>
      <w:r w:rsidRPr="00074AA5">
        <w:t>.</w:t>
      </w:r>
    </w:p>
    <w:p w:rsidR="00074AA5" w:rsidRPr="00074AA5" w:rsidRDefault="00074AA5" w:rsidP="00074AA5">
      <w:pPr>
        <w:jc w:val="both"/>
      </w:pPr>
      <w:hyperlink r:id="rId15" w:anchor="ntc3-L_202501475BG.000101-E0003" w:history="1">
        <w:r w:rsidRPr="00074AA5">
          <w:rPr>
            <w:rStyle w:val="Hyperlink"/>
          </w:rPr>
          <w:t>(</w:t>
        </w:r>
        <w:r w:rsidRPr="00074AA5">
          <w:rPr>
            <w:rStyle w:val="Hyperlink"/>
            <w:vertAlign w:val="superscript"/>
          </w:rPr>
          <w:t>3</w:t>
        </w:r>
        <w:r w:rsidRPr="00074AA5">
          <w:rPr>
            <w:rStyle w:val="Hyperlink"/>
          </w:rPr>
          <w:t>)</w:t>
        </w:r>
      </w:hyperlink>
      <w:r w:rsidRPr="00074AA5">
        <w:t>  Решение 90/611/ЕИО на Съвета от 22 октомври 1990 г. относно сключването от името на Европейската икономическа общност на Конвенцията на Организацията на обединените нации за борба срещу незаконния трафик на упойващи и психотропни вещества (</w:t>
      </w:r>
      <w:hyperlink r:id="rId16" w:history="1">
        <w:r w:rsidRPr="00074AA5">
          <w:rPr>
            <w:rStyle w:val="Hyperlink"/>
          </w:rPr>
          <w:t>ОВ L 326, 24.11.1990 г., стр. 56</w:t>
        </w:r>
      </w:hyperlink>
      <w:r w:rsidRPr="00074AA5">
        <w:t>, ELI: </w:t>
      </w:r>
      <w:hyperlink r:id="rId17" w:history="1">
        <w:r w:rsidRPr="00074AA5">
          <w:rPr>
            <w:rStyle w:val="Hyperlink"/>
          </w:rPr>
          <w:t>http://data.europa.eu/eli/dec/1990/611/oj</w:t>
        </w:r>
      </w:hyperlink>
      <w:r w:rsidRPr="00074AA5">
        <w:t>).</w:t>
      </w:r>
    </w:p>
    <w:p w:rsidR="00074AA5" w:rsidRPr="00074AA5" w:rsidRDefault="00074AA5" w:rsidP="00074AA5">
      <w:pPr>
        <w:jc w:val="both"/>
      </w:pPr>
      <w:r w:rsidRPr="00074AA5">
        <w:pict>
          <v:rect id="_x0000_i1026" style="width:63.5pt;height:.75pt" o:hrpct="0" o:hralign="center" o:hrstd="t" o:hrnoshade="t" o:hr="t" fillcolor="black" stroked="f"/>
        </w:pic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ПРИЛОЖЕНИЕ I</w:t>
      </w:r>
    </w:p>
    <w:p w:rsidR="00074AA5" w:rsidRPr="00074AA5" w:rsidRDefault="00074AA5" w:rsidP="00074AA5">
      <w:pPr>
        <w:jc w:val="both"/>
      </w:pPr>
      <w:r w:rsidRPr="00074AA5">
        <w:t>В приложение I към Регламент (ЕО) № 273/2004 в таблицата за веществата от категория 1 се добавят следните редове в описа на веществата, на подходящото място по реда на кодовете по КН: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4790"/>
        <w:gridCol w:w="1059"/>
        <w:gridCol w:w="1192"/>
      </w:tblGrid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Вещество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Код КН (ако е различен)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Код по КН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CAS №</w:t>
            </w:r>
          </w:p>
        </w:tc>
      </w:tr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„4-пиперидон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Пиперидин-4-он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2933 39 99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41661-47-6“</w:t>
            </w:r>
          </w:p>
        </w:tc>
      </w:tr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„1-бок-4-пиперидон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</w:t>
            </w:r>
            <w:r w:rsidRPr="00074AA5">
              <w:rPr>
                <w:i/>
                <w:iCs/>
              </w:rPr>
              <w:t>Трет</w:t>
            </w:r>
            <w:r w:rsidRPr="00074AA5">
              <w:t>-бутилов 4-оксопиперидин-1-карбоксилат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2933 39 99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79099-07-3“</w:t>
            </w:r>
          </w:p>
        </w:tc>
      </w:tr>
    </w:tbl>
    <w:p w:rsidR="00074AA5" w:rsidRPr="00074AA5" w:rsidRDefault="00074AA5" w:rsidP="00074AA5">
      <w:pPr>
        <w:jc w:val="both"/>
      </w:pPr>
      <w:r w:rsidRPr="00074AA5">
        <w:pict>
          <v:rect id="_x0000_i1027" style="width:63.5pt;height:.75pt" o:hrpct="0" o:hralign="center" o:hrstd="t" o:hrnoshade="t" o:hr="t" fillcolor="black" stroked="f"/>
        </w:pict>
      </w:r>
    </w:p>
    <w:p w:rsidR="00074AA5" w:rsidRPr="00074AA5" w:rsidRDefault="00074AA5" w:rsidP="00074AA5">
      <w:pPr>
        <w:jc w:val="both"/>
        <w:rPr>
          <w:b/>
          <w:bCs/>
        </w:rPr>
      </w:pPr>
      <w:r w:rsidRPr="00074AA5">
        <w:rPr>
          <w:b/>
          <w:bCs/>
        </w:rPr>
        <w:t>ПРИЛОЖЕНИЕ II</w:t>
      </w:r>
    </w:p>
    <w:p w:rsidR="00074AA5" w:rsidRPr="00074AA5" w:rsidRDefault="00074AA5" w:rsidP="00074AA5">
      <w:pPr>
        <w:jc w:val="both"/>
      </w:pPr>
      <w:r w:rsidRPr="00074AA5">
        <w:t>В приложението към Регламент (ЕО) № 111/2005 в таблицата за веществата от категория 1 се добавят следните редове в описа на веществата, на подходящото място по реда на кодовете по КН: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4790"/>
        <w:gridCol w:w="1059"/>
        <w:gridCol w:w="1192"/>
      </w:tblGrid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Вещество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Код по КН (ако е различен)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Код по КН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  <w:rPr>
                <w:b/>
                <w:bCs/>
              </w:rPr>
            </w:pPr>
            <w:r w:rsidRPr="00074AA5">
              <w:rPr>
                <w:b/>
                <w:bCs/>
              </w:rPr>
              <w:t>CAS №</w:t>
            </w:r>
          </w:p>
        </w:tc>
      </w:tr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„4-пиперидон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Пиперидин-4-он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2933 39 99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41661-47-6“</w:t>
            </w:r>
          </w:p>
        </w:tc>
      </w:tr>
      <w:tr w:rsidR="00074AA5" w:rsidRPr="00074AA5" w:rsidTr="00074A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„1-бок-4-пиперидон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„</w:t>
            </w:r>
            <w:r w:rsidRPr="00074AA5">
              <w:rPr>
                <w:i/>
                <w:iCs/>
              </w:rPr>
              <w:t>Трет</w:t>
            </w:r>
            <w:r w:rsidRPr="00074AA5">
              <w:t>-бутилов 4-оксопиперидин-1-карбоксилат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2933 39 99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4AA5" w:rsidRPr="00074AA5" w:rsidRDefault="00074AA5" w:rsidP="00074AA5">
            <w:pPr>
              <w:jc w:val="both"/>
            </w:pPr>
            <w:r w:rsidRPr="00074AA5">
              <w:t>79099-07-3“</w:t>
            </w:r>
          </w:p>
        </w:tc>
      </w:tr>
    </w:tbl>
    <w:p w:rsidR="00A60F1E" w:rsidRPr="00074AA5" w:rsidRDefault="00A60F1E" w:rsidP="00074AA5">
      <w:pPr>
        <w:jc w:val="both"/>
      </w:pPr>
    </w:p>
    <w:sectPr w:rsidR="00A60F1E" w:rsidRPr="0007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5C" w:rsidRDefault="0069445C" w:rsidP="00074AA5">
      <w:pPr>
        <w:spacing w:after="0" w:line="240" w:lineRule="auto"/>
      </w:pPr>
      <w:r>
        <w:separator/>
      </w:r>
    </w:p>
  </w:endnote>
  <w:endnote w:type="continuationSeparator" w:id="0">
    <w:p w:rsidR="0069445C" w:rsidRDefault="0069445C" w:rsidP="000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5C" w:rsidRDefault="0069445C" w:rsidP="00074AA5">
      <w:pPr>
        <w:spacing w:after="0" w:line="240" w:lineRule="auto"/>
      </w:pPr>
      <w:r>
        <w:separator/>
      </w:r>
    </w:p>
  </w:footnote>
  <w:footnote w:type="continuationSeparator" w:id="0">
    <w:p w:rsidR="0069445C" w:rsidRDefault="0069445C" w:rsidP="00074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A5"/>
    <w:rsid w:val="00074AA5"/>
    <w:rsid w:val="00623314"/>
    <w:rsid w:val="0069445C"/>
    <w:rsid w:val="009054F9"/>
    <w:rsid w:val="00A60F1E"/>
    <w:rsid w:val="00C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B7019-E921-47B6-90D6-212E765E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AA5"/>
  </w:style>
  <w:style w:type="paragraph" w:styleId="Footer">
    <w:name w:val="footer"/>
    <w:basedOn w:val="Normal"/>
    <w:link w:val="FooterChar"/>
    <w:uiPriority w:val="99"/>
    <w:unhideWhenUsed/>
    <w:rsid w:val="0007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AA5"/>
  </w:style>
  <w:style w:type="character" w:styleId="Hyperlink">
    <w:name w:val="Hyperlink"/>
    <w:basedOn w:val="DefaultParagraphFont"/>
    <w:uiPriority w:val="99"/>
    <w:unhideWhenUsed/>
    <w:rsid w:val="00074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4113">
                  <w:marLeft w:val="810"/>
                  <w:marRight w:val="8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5670">
                      <w:marLeft w:val="4005"/>
                      <w:marRight w:val="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BG/TXT/?uri=celex%3A32025R1475" TargetMode="External"/><Relationship Id="rId13" Type="http://schemas.openxmlformats.org/officeDocument/2006/relationships/hyperlink" Target="https://eur-lex.europa.eu/legal-content/BG/AUTO/?uri=OJ:L:2005:022:T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BG/TXT/?uri=celex%3A32025R1475" TargetMode="External"/><Relationship Id="rId12" Type="http://schemas.openxmlformats.org/officeDocument/2006/relationships/hyperlink" Target="https://eur-lex.europa.eu/legal-content/BG/TXT/?uri=celex%3A32025R1475" TargetMode="External"/><Relationship Id="rId17" Type="http://schemas.openxmlformats.org/officeDocument/2006/relationships/hyperlink" Target="http://data.europa.eu/eli/dec/1990/611/o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BG/AUTO/?uri=OJ:L:1990:326:TOC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BG/TXT/?uri=celex%3A32025R1475" TargetMode="External"/><Relationship Id="rId11" Type="http://schemas.openxmlformats.org/officeDocument/2006/relationships/hyperlink" Target="http://data.europa.eu/eli/reg/2004/273/oj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ur-lex.europa.eu/legal-content/BG/TXT/?uri=celex%3A32025R1475" TargetMode="External"/><Relationship Id="rId10" Type="http://schemas.openxmlformats.org/officeDocument/2006/relationships/hyperlink" Target="https://eur-lex.europa.eu/legal-content/BG/AUTO/?uri=OJ:L:2004:047:T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BG/TXT/?uri=celex%3A32025R1475" TargetMode="External"/><Relationship Id="rId14" Type="http://schemas.openxmlformats.org/officeDocument/2006/relationships/hyperlink" Target="http://data.europa.eu/eli/reg/2005/11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2025-09-24T11:52:00Z</dcterms:created>
  <dcterms:modified xsi:type="dcterms:W3CDTF">2025-09-24T11:53:00Z</dcterms:modified>
</cp:coreProperties>
</file>