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54" w:rsidRPr="00754E54" w:rsidRDefault="00754E54" w:rsidP="00754E5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I</w:t>
      </w:r>
    </w:p>
    <w:p w:rsidR="00754E54" w:rsidRPr="00754E54" w:rsidRDefault="00754E54" w:rsidP="00754E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Информация, която трябва да бъде предоставена при подаване на заявление за лиценз съгласно член 34 от Регламент (ЕС) 2016/1011 </w:t>
      </w:r>
    </w:p>
    <w:p w:rsidR="00754E54" w:rsidRPr="00754E54" w:rsidRDefault="00754E54" w:rsidP="00754E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ОБЩА ИНФОРМАЦИЯ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9166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Пълно име на заявителя и неговия идентификационен код на правния субект (ИКПС).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9029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на управление в рамките на Европейския съюз.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8298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Правен статут.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8721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Уебсайт, ако има такъв.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9070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отношение на лицето за контакт за целите на заявлението: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  <w:gridCol w:w="6852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i)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7545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длъжност;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4"/>
              <w:gridCol w:w="6276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8"/>
              <w:gridCol w:w="7912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електронна поща;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8174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телефонен номер.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Когато заявителят е поднадзорен субект, информация относно актуалния му лицензен статут, включително дейностите, за които има лиценз, и съответния компетентен орган в неговата държава членка по произход.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9114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на дейностите на заявителя в Европейския съюз, независимо дали подлежат на финансово регулиране, които са относими към дейността по изготвяне на бенчмаркове, заедно с описание на мястото, където тези дейности се осъществяват.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9097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Учредителен акт, устав или други учредителни документи.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9151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Когато заявителят е част от група, структура на групата, заедно с диаграма на собствеността, която да показва връзките между всяко предприятие майка и неговите дъщерни предприятия. Представените в диаграмата предприятия и дъщерни предприятия </w:t>
            </w: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 посочат с тяхното пълно наименование, правен статут, седалище и адрес на управление.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9151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 декларация за добрата репутация, включително подробна информация, ако е приложимо, за всеки случай на: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9004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за дисциплинарни нарушения от страна на субекта (освен ако не е отхвърлено);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8856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на лиценз или регистрация от страна на финансов орган;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8853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отнемане на лиценз или заличаване на регистрация от страна на финансов орган.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8865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 на изготвените бенчмаркове.</w:t>
            </w:r>
          </w:p>
        </w:tc>
      </w:tr>
    </w:tbl>
    <w:p w:rsidR="00754E54" w:rsidRPr="00754E54" w:rsidRDefault="00754E54" w:rsidP="00754E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ОРГАНИЗАЦИОННА СТРУКТУРА И УПРАВЛЕНИЕ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Вътрешна организационна структура на съвета на директорите, комитети на висшето ръководство, функция по наблюдение и всички други вътрешни органи, които упражняват значими ръководни функции, свързани с изготвянето на даден бенчмарк, включително техните: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8906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техническо задание или негово резюме; както и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8908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спазване на всякакви кодекси за управление или подобни разпоредби.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9157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Процедури, гарантиращи, че служителите на администратора и всички други физически лица, чиито услуги са на негово разположение или под негов контрол и които пряко участват в изготвянето на даден бенчмарк, притежават необходимите умения, знания и опит за изпълнението на възложените им задължения и действат при спазване на разпоредбите на член 4, параграф 7 от Регламент (ЕС) 2016/1011.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9166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 на служителите (временни и постоянни), които участват в изготвянето на даден бенчмарк.</w:t>
            </w:r>
          </w:p>
        </w:tc>
      </w:tr>
    </w:tbl>
    <w:p w:rsidR="00754E54" w:rsidRPr="00754E54" w:rsidRDefault="00754E54" w:rsidP="00754E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КОНФЛИКТИ НА ИНТЕРЕСИ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 и процедури за решаване на следното: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9026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как текущите и потенциалните конфликти на интереси се установяват, записват, управляват, смекчават, предотвратяват или отстраняват — сега или при възникването им в бъдеще;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959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конкретни обстоятелства, приложими за заявителя или за конкретен бенчмарк, изготвян от заявителя, във връзка с който е много вероятно да възникнат конфликти на интереси, </w:t>
                  </w: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включително когато се използва експертно мнение или се упражнява преценка в процеса на определяне на бенчмарка, когато заявителят се намира в рамките на същата група като потребител на даден бенчмарк и когато заявителят е част от пазара или икономическата действителност, които бенчмаркът измерва.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9157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даден бенчмарк или група от бенчмаркове, списък на всички установени съществени конфликти на интереси заедно със съответните мерки за тяхното смекчаване. За всеки критичен бенчмарк, актуализиран опис на действителните и потенциалните конфликти на интереси заедно със съответните мерки за тяхното смекчаване.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9166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Структурата на политиката за възнагражденията, като се посочват критериите, които се използват за определяне на възнаграждението на лицата, участващи пряко или непряко в дейността по изготвяне на бенчмаркове.</w:t>
            </w:r>
          </w:p>
        </w:tc>
      </w:tr>
    </w:tbl>
    <w:p w:rsidR="00754E54" w:rsidRPr="00754E54" w:rsidRDefault="00754E54" w:rsidP="00754E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СТРУКТУРА НА ВЪТРЕШНИЯ КОНТРОЛ, НАБЛЮДЕНИЕТО И СИСТЕМАТА ЗА ОТЧЕТНОСТ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 и процедури за наблюдение на дейностите по изготвяне на даден бенчмарк или група от бенчмаркове, включително във връзка със: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722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информационните системи;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959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управлението на риска, включително структурата на рисковете, които могат да възникнат и повлияят на точността, достоверността и представителността на изготвения бенчмарк или на непрекъснатостта на дейността по изготвяне, заедно със съответните мерки за смекчаване;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893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учредяване, роля и дейност на функцията по наблюдение, описани в член 5 от Регламент (ЕС) 2016/1011 и допълнително конкретизирани в регулаторните технически стандарти, приети съгласно член 5, параграф 5 от Регламент (ЕС) 2016/1011 </w:t>
                  </w:r>
                  <w:hyperlink r:id="rId4" w:anchor="ntr1-L_2018274BG.01004601-E0001" w:history="1">
                    <w:r w:rsidRPr="00754E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(</w:t>
                    </w:r>
                    <w:r w:rsidRPr="00754E54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vertAlign w:val="superscript"/>
                      </w:rPr>
                      <w:t>1</w:t>
                    </w:r>
                    <w:r w:rsidRPr="00754E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)</w:t>
                    </w:r>
                  </w:hyperlink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включително процедури за назначаване, заместване или отстраняване на лица в рамките на функцията по наблюдение;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8906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създаване, роля и функциониране на механизмите за контрол, описани в член 6 от Регламент (ЕС) 2016/1011, включително процедури за назначаване, заместване или отстраняване на лицата, отговарящи за тези механизми;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973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системата за отчетност, описана в член 7 от Регламент (ЕС) 2016/1011, включително процедури за назначаване, заместване или отстраняване на лицата, отговарящи за тази система.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9157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Планове за непредвидени ситуации за определяне и публикуване на даден бенчмарк на временна основа, включително непрекъснатост на работата и планове за възстановяване при бедствия.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9166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Процедури за вътрешно докладване на нарушения на Регламент (ЕС) 2016/1011 за ръководители, служители и всички други физически лица, чиито услуги са предоставени на разположение на заявителя или под контрола на заявителя.</w:t>
            </w:r>
          </w:p>
        </w:tc>
      </w:tr>
    </w:tbl>
    <w:p w:rsidR="00754E54" w:rsidRPr="00754E54" w:rsidRDefault="00754E54" w:rsidP="00754E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ОПИСАНИЕ НА БЕНЧМАРКОВЕТЕ ИЛИ ГРУПИТЕ ОТ БЕНЧМАРКОВЕ, КОИТО СЕ ИЗГОТВЯТ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на даден бенчмарк или група от бенчмаркове, които се изготвят или които заявителят възнамерява да изготвя, и видът, към който спада бенчмаркът, възможно най-точно според познанията на заявителя, и вземайки предвид разпоредбите на Регламент (ЕС) 2016/1011, заедно с посочване на източниците, използвани за определяне на вида на бенчмарка.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9157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на базовия пазар или икономическата действителност, които бенчмаркът или групата от бенчмаркове имат за цел да измерват, заедно с посочване на източниците, използвани за осигуряване на това описание.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9166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на доставчиците на данни за даден бенчмарк или група от бенчмаркове, заедно с кодекса за поведение, съгласно описаното в член 15 от Регламент (ЕС) 2016/1011, а за критични бенчмаркове, името и местоположението на доставчиците на данни.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9181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относно мерките за справяне с корекциите при определяне или публикуване на даден бенчмарк или група от бенчмаркове.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9157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относно процедурата, която следва да се изпълни от администратора в случай на промени или прекратяване на даден бенчмарк или група от бенчмаркове, съгласно член 28, параграф 1 от Регламент (ЕС) 2016/1011.</w:t>
            </w:r>
          </w:p>
        </w:tc>
      </w:tr>
    </w:tbl>
    <w:p w:rsidR="00754E54" w:rsidRPr="00754E54" w:rsidRDefault="00754E54" w:rsidP="00754E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  ВХОДЯЩИ ДАННИ И МЕТОДИКА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всеки бенчмарк или група от бенчмаркове, политики и процедури относно входящите данни, включително тези, отнасящи се до: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9026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вида на използваните входящи данни, приоритетното им използване и всяко упражняване на преценка или експертно мнение;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959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всички процеси за гарантиране, че входящите данни са достатъчни, подходящи и подлежащи на проверка;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893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критериите за определяне кой може да предоставя входящи данни на администратора и процес за подбор на доставчици на данни;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8906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iv)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оценка на входящите данни, предоставени от доставчика и процес на валидиране на входящите данни.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9157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всеки бенчмарк или група от бенчмаркове, по отношение на методиката: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9010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описание на методиката, като се посочват ключовите елементи на методиката в съответствие с член 13 от Регламент (ЕС) 2016/1011 на Европейския парламент и на Съвета и допълнително конкретизирани в регулаторните технически стандарти, приети съгласно член 13, параграф 3 от Регламент (ЕС) 2016/1011 </w:t>
                  </w:r>
                  <w:hyperlink r:id="rId5" w:anchor="ntr2-L_2018274BG.01004601-E0002" w:history="1">
                    <w:r w:rsidRPr="00754E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(</w:t>
                    </w:r>
                    <w:r w:rsidRPr="00754E54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vertAlign w:val="superscript"/>
                      </w:rPr>
                      <w:t>2</w:t>
                    </w:r>
                    <w:r w:rsidRPr="00754E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)</w:t>
                    </w:r>
                  </w:hyperlink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943"/>
            </w:tblGrid>
            <w:tr w:rsidR="00754E54" w:rsidRPr="00754E5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ii)</w:t>
                  </w:r>
                </w:p>
              </w:tc>
              <w:tc>
                <w:tcPr>
                  <w:tcW w:w="0" w:type="auto"/>
                  <w:hideMark/>
                </w:tcPr>
                <w:p w:rsidR="00754E54" w:rsidRPr="00754E54" w:rsidRDefault="00754E54" w:rsidP="00754E54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4E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политики и процедури, включително такива, отнасящи се до: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8743"/>
                  </w:tblGrid>
                  <w:tr w:rsidR="00754E54" w:rsidRPr="00754E5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54E54" w:rsidRPr="00754E54" w:rsidRDefault="00754E54" w:rsidP="00754E54">
                        <w:pPr>
                          <w:spacing w:before="120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4E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54E54" w:rsidRPr="00754E54" w:rsidRDefault="00754E54" w:rsidP="00754E54">
                        <w:pPr>
                          <w:spacing w:before="120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4E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предприетите мерки за осигуряване на валидиране и преглед на методиката, включително проведените изпитвания и бек-тестове;</w:t>
                        </w:r>
                      </w:p>
                    </w:tc>
                  </w:tr>
                </w:tbl>
                <w:p w:rsidR="00754E54" w:rsidRPr="00754E54" w:rsidRDefault="00754E54" w:rsidP="0075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8743"/>
                  </w:tblGrid>
                  <w:tr w:rsidR="00754E54" w:rsidRPr="00754E5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54E54" w:rsidRPr="00754E54" w:rsidRDefault="00754E54" w:rsidP="00754E54">
                        <w:pPr>
                          <w:spacing w:before="120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4E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54E54" w:rsidRPr="00754E54" w:rsidRDefault="00754E54" w:rsidP="00754E54">
                        <w:pPr>
                          <w:spacing w:before="120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54E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процеса за извършване на консултации за всяка предложена съществена промяна в методиката.</w:t>
                        </w:r>
                      </w:p>
                    </w:tc>
                  </w:tr>
                </w:tbl>
                <w:p w:rsidR="00754E54" w:rsidRPr="00754E54" w:rsidRDefault="00754E54" w:rsidP="00754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E54" w:rsidRPr="00754E54" w:rsidRDefault="00754E54" w:rsidP="00754E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  ВЪЗЛАГАНЕ НА ПОДИЗПЪЛНИТЕЛИ</w:t>
      </w:r>
    </w:p>
    <w:p w:rsidR="00754E54" w:rsidRPr="00754E54" w:rsidRDefault="00754E54" w:rsidP="00754E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 дейност, формираща част от процеса по изготвяне на даден бенчмарк или група от бенчмаркове, се възлага на подизпълнители: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съответните договорености за възлагане на подизпълнители, включително споразумения за равнището на обслужване, които доказват спазването на член 10 от Регламент (ЕС) 2016/1011;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9157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подробна информация относно възложените на подизпълнители функции, освен ако тази информация вече е включена в съответните договори;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9166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 и процедури относно наблюдението на възложените на подизпълнители дейности.</w:t>
            </w:r>
          </w:p>
        </w:tc>
      </w:tr>
    </w:tbl>
    <w:p w:rsidR="00754E54" w:rsidRPr="00754E54" w:rsidRDefault="00754E54" w:rsidP="00754E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  ДРУГА ИНФОРМАЦИЯ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Заявителят може да предостави всяка свързана с неговото заявление допълнителна информация, която счита за целесъобразна.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9157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Заявителят представя изискваната информация по начина и във формата, посочени от компетентния орган.</w:t>
            </w:r>
          </w:p>
        </w:tc>
      </w:tr>
    </w:tbl>
    <w:p w:rsidR="00754E54" w:rsidRPr="00754E54" w:rsidRDefault="00754E54" w:rsidP="00754E54">
      <w:pPr>
        <w:spacing w:before="24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93.6pt;height:.75pt" o:hrpct="200" o:hrstd="t" o:hrnoshade="t" o:hr="t" fillcolor="black" stroked="f"/>
        </w:pict>
      </w:r>
    </w:p>
    <w:p w:rsidR="00754E54" w:rsidRPr="00754E54" w:rsidRDefault="00754E54" w:rsidP="00754E5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hyperlink r:id="rId6" w:anchor="ntc1-L_2018274BG.01004601-E0001" w:history="1"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(</w:t>
        </w:r>
        <w:r w:rsidRPr="00754E54">
          <w:rPr>
            <w:rFonts w:ascii="Times New Roman" w:eastAsia="Times New Roman" w:hAnsi="Times New Roman" w:cs="Times New Roman"/>
            <w:color w:val="0000FF"/>
            <w:sz w:val="13"/>
            <w:szCs w:val="13"/>
            <w:u w:val="single"/>
            <w:vertAlign w:val="superscript"/>
          </w:rPr>
          <w:t>1</w:t>
        </w:r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)</w:t>
        </w:r>
      </w:hyperlink>
      <w:r w:rsidRPr="00754E54">
        <w:rPr>
          <w:rFonts w:ascii="Times New Roman" w:eastAsia="Times New Roman" w:hAnsi="Times New Roman" w:cs="Times New Roman"/>
          <w:color w:val="000000"/>
          <w:sz w:val="19"/>
          <w:szCs w:val="19"/>
        </w:rPr>
        <w:t>  Делегиран регламент (ЕС) 2018/1637 на Комисията от 13 юли 2018 година за допълване на Регламент (ЕС) 2016/1011 на Европейския парламент и на Съвета във връзка с регулаторни технически стандарти за процедурите и характеристиките на функцията по наблюдение (вж. страница 1 от настоящия брой на Официален вестник).</w:t>
      </w:r>
    </w:p>
    <w:p w:rsidR="00754E54" w:rsidRPr="00754E54" w:rsidRDefault="00754E54" w:rsidP="00754E5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hyperlink r:id="rId7" w:anchor="ntc2-L_2018274BG.01004601-E0002" w:history="1"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(</w:t>
        </w:r>
        <w:r w:rsidRPr="00754E54">
          <w:rPr>
            <w:rFonts w:ascii="Times New Roman" w:eastAsia="Times New Roman" w:hAnsi="Times New Roman" w:cs="Times New Roman"/>
            <w:color w:val="0000FF"/>
            <w:sz w:val="13"/>
            <w:szCs w:val="13"/>
            <w:u w:val="single"/>
            <w:vertAlign w:val="superscript"/>
          </w:rPr>
          <w:t>2</w:t>
        </w:r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)</w:t>
        </w:r>
      </w:hyperlink>
      <w:r w:rsidRPr="00754E54">
        <w:rPr>
          <w:rFonts w:ascii="Times New Roman" w:eastAsia="Times New Roman" w:hAnsi="Times New Roman" w:cs="Times New Roman"/>
          <w:color w:val="000000"/>
          <w:sz w:val="19"/>
          <w:szCs w:val="19"/>
        </w:rPr>
        <w:t>  Делегиран регламент (ЕС) 2018/1641 на Комисията от 13 юли 2018 година за допълнение на Регламент (ЕС) 2016/1011 на Европейския парламент и на Съвета по отношение на регулаторните технически стандарти за допълнително конкретизиране на информацията, която администраторите на критични или значими бенчмаркове предоставят относно използваната методика за определяне на бенчмарка, вътрешния преглед и одобряване на методиката и относно процедурите за извършване на съществени промени в методиката (вж. страница 21 от настоящия брой на Официален вестник).</w:t>
      </w:r>
    </w:p>
    <w:p w:rsidR="00754E54" w:rsidRPr="00754E54" w:rsidRDefault="00754E54" w:rsidP="00754E5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6" style="width:46.8pt;height:.75pt" o:hrpct="100" o:hralign="center" o:hrstd="t" o:hrnoshade="t" o:hr="t" fillcolor="black" stroked="f"/>
        </w:pict>
      </w:r>
    </w:p>
    <w:p w:rsidR="00754E54" w:rsidRPr="00754E54" w:rsidRDefault="00754E54" w:rsidP="00754E5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II</w:t>
      </w:r>
    </w:p>
    <w:p w:rsidR="00754E54" w:rsidRPr="00754E54" w:rsidRDefault="00754E54" w:rsidP="00754E5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Информация, която трябва да бъде представена при подаване на заявление за регистрация съгласно член 34 от Регламент (ЕС) 2016/1011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9157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„п.“ означава „прилага се“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9188"/>
      </w:tblGrid>
      <w:tr w:rsidR="00754E54" w:rsidRPr="00754E54" w:rsidTr="00754E54">
        <w:trPr>
          <w:tblCellSpacing w:w="0" w:type="dxa"/>
        </w:trPr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54E54" w:rsidRPr="00754E54" w:rsidRDefault="00754E54" w:rsidP="00754E5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„н.п.“ означава „не се прилага“</w:t>
            </w:r>
          </w:p>
        </w:tc>
      </w:tr>
    </w:tbl>
    <w:p w:rsidR="00754E54" w:rsidRPr="00754E54" w:rsidRDefault="00754E54" w:rsidP="00754E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3493"/>
        <w:gridCol w:w="2780"/>
        <w:gridCol w:w="2619"/>
      </w:tblGrid>
      <w:tr w:rsidR="00754E54" w:rsidRPr="00754E54" w:rsidTr="00754E5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Позиция в приложение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Поднадзорни субекти, които изготвят само некритични бенчмаркове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Субекти, които изготвят само бенчмаркове с малка значимост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1)   Обща информация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Пълно име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Правен статут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Уебсайт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Лице за контакт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Текущ лицензен статут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8" w:anchor="ntr1-L_2018274BG.01004901-E0001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9" w:anchor="ntr1-L_2018274BG.01004901-E0001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за поднадзорни субекти</w:t>
            </w:r>
          </w:p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н.п. за субекти, които не са поднадзорни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Извършени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10" w:anchor="ntr1-L_2018274BG.01004901-E0001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11" w:anchor="ntr1-L_2018274BG.01004901-E0001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Учредителни документи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12" w:anchor="ntr1-L_2018274BG.01004901-E0001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13" w:anchor="ntr1-L_2018274BG.01004901-E0001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Структура на групата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14" w:anchor="ntr1-L_2018274BG.01004901-E0001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15" w:anchor="ntr1-L_2018274BG.01004901-E0001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Лична декларация за добрата репутация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16" w:anchor="ntr1-L_2018274BG.01004901-E0001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17" w:anchor="ntr1-L_2018274BG.01004901-E0001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1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1, 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Брой на бенчмарковете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2)   Организационна структура и управление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2,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Вътрешна организационна 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2,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Служители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2,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Човешки ресурси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н.п.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3)   Конфликти на интереси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3,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Политики и процедури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hyperlink r:id="rId18" w:anchor="ntr2-L_2018274BG.01004901-E0002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2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19" w:anchor="ntr2-L_2018274BG.01004901-E0002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2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3,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Съществени конфликти на интереси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н.п.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3,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Структура на възнагражденията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4)   Структура на вътрешния контрол, наблюдението и системата за отчетност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4,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Политики и процедури за наблюдение на дейностите по изготвяне на даден бенчмарк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20" w:anchor="ntr3-L_2018274BG.01004901-E0003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3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4,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Вътрешни процедури за определяне и публикуване на даден бенчмарк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4,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Вътрешно докладване на нарушения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5)   Описание на изготвяните бенчмаркове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5,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21" w:anchor="ntr4-L_2018274BG.01004901-E0004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5,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Базов пазар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22" w:anchor="ntr4-L_2018274BG.01004901-E0004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5,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Доставчици на входящи данни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23" w:anchor="ntr4-L_2018274BG.01004901-E0004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5,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Корекции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24" w:anchor="ntr4-L_2018274BG.01004901-E0004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5,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Промени и прекратяване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25" w:anchor="ntr4-L_2018274BG.01004901-E0004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6)   Входящи данни и методика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6, а), 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Описание на използваните входящи данни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26" w:anchor="ntr4-L_2018274BG.01004901-E0004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6, а),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Входящи данни — достатъчни, подходящи и подлежащи на 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27" w:anchor="ntr4-L_2018274BG.01004901-E0004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28" w:anchor="ntr5-L_2018274BG.01004901-E0005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5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6, а),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Доставчици на входящи данни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29" w:anchor="ntr4-L_2018274BG.01004901-E0004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6, а), 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Оценка на входящите данни, предоставени от доставчика, и валидиране на входящите данни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30" w:anchor="ntr6-L_2018274BG.01004901-E0006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6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н.п.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6, б), 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Описание на методиката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31" w:anchor="ntr4-L_2018274BG.01004901-E0004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6, б), ii),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Валидиране/Преглед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32" w:anchor="ntr4-L_2018274BG.01004901-E0004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4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6, б), ii),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Съществени промени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33" w:anchor="ntr6-L_2018274BG.01004901-E0006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6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н.п.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7)   Възлагане на дейности на подизпълнители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7,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34" w:anchor="ntr6-L_2018274BG.01004901-E0006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6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н.п.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7,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Функции, възложени на подизпълнители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35" w:anchor="ntr6-L_2018274BG.01004901-E0006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6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7,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Контрол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  <w:hyperlink r:id="rId36" w:anchor="ntr6-L_2018274BG.01004901-E0006" w:history="1"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 (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</w:rPr>
                <w:t>6</w:t>
              </w:r>
              <w:r w:rsidRPr="00754E5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754E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 в резюмиран вид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54E54" w:rsidRPr="00754E54" w:rsidRDefault="00754E54" w:rsidP="00754E54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8)   Други 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4E54" w:rsidRPr="00754E54" w:rsidRDefault="00754E54" w:rsidP="0075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8,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Допълнителна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  <w:tr w:rsidR="00754E54" w:rsidRPr="00754E54" w:rsidTr="00754E5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8,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E54" w:rsidRPr="00754E54" w:rsidRDefault="00754E54" w:rsidP="00754E5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E54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</w:tc>
      </w:tr>
    </w:tbl>
    <w:p w:rsidR="00754E54" w:rsidRPr="00754E54" w:rsidRDefault="00754E54" w:rsidP="00754E54">
      <w:pPr>
        <w:spacing w:before="24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E5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7" style="width:93.6pt;height:.75pt" o:hrpct="200" o:hrstd="t" o:hrnoshade="t" o:hr="t" fillcolor="black" stroked="f"/>
        </w:pict>
      </w:r>
    </w:p>
    <w:p w:rsidR="00754E54" w:rsidRPr="00754E54" w:rsidRDefault="00754E54" w:rsidP="00754E5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hyperlink r:id="rId37" w:anchor="ntc1-L_2018274BG.01004901-E0001" w:history="1"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(</w:t>
        </w:r>
        <w:r w:rsidRPr="00754E54">
          <w:rPr>
            <w:rFonts w:ascii="Times New Roman" w:eastAsia="Times New Roman" w:hAnsi="Times New Roman" w:cs="Times New Roman"/>
            <w:color w:val="0000FF"/>
            <w:sz w:val="13"/>
            <w:szCs w:val="13"/>
            <w:u w:val="single"/>
            <w:vertAlign w:val="superscript"/>
          </w:rPr>
          <w:t>1</w:t>
        </w:r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)</w:t>
        </w:r>
      </w:hyperlink>
      <w:r w:rsidRPr="00754E54">
        <w:rPr>
          <w:rFonts w:ascii="Times New Roman" w:eastAsia="Times New Roman" w:hAnsi="Times New Roman" w:cs="Times New Roman"/>
          <w:color w:val="000000"/>
          <w:sz w:val="19"/>
          <w:szCs w:val="19"/>
        </w:rPr>
        <w:t>  Освен ако вече не е под надзор от същия компетентен орган за други дейности, различни от изготвянето на бенчмаркове.</w:t>
      </w:r>
    </w:p>
    <w:p w:rsidR="00754E54" w:rsidRPr="00754E54" w:rsidRDefault="00754E54" w:rsidP="00754E5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hyperlink r:id="rId38" w:anchor="ntc2-L_2018274BG.01004901-E0002" w:history="1"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(</w:t>
        </w:r>
        <w:r w:rsidRPr="00754E54">
          <w:rPr>
            <w:rFonts w:ascii="Times New Roman" w:eastAsia="Times New Roman" w:hAnsi="Times New Roman" w:cs="Times New Roman"/>
            <w:color w:val="0000FF"/>
            <w:sz w:val="13"/>
            <w:szCs w:val="13"/>
            <w:u w:val="single"/>
            <w:vertAlign w:val="superscript"/>
          </w:rPr>
          <w:t>2</w:t>
        </w:r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)</w:t>
        </w:r>
      </w:hyperlink>
      <w:r w:rsidRPr="00754E54">
        <w:rPr>
          <w:rFonts w:ascii="Times New Roman" w:eastAsia="Times New Roman" w:hAnsi="Times New Roman" w:cs="Times New Roman"/>
          <w:color w:val="000000"/>
          <w:sz w:val="19"/>
          <w:szCs w:val="19"/>
        </w:rPr>
        <w:t>  Заявителят може да избере да не представя информация по точка 3, буква а), подточка iii) от приложение I, свързана с изготвяния от него значим бенчмарк или такъв с малка значимост.</w:t>
      </w:r>
    </w:p>
    <w:p w:rsidR="00754E54" w:rsidRPr="00754E54" w:rsidRDefault="00754E54" w:rsidP="00754E5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hyperlink r:id="rId39" w:anchor="ntc3-L_2018274BG.01004901-E0003" w:history="1"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(</w:t>
        </w:r>
        <w:r w:rsidRPr="00754E54">
          <w:rPr>
            <w:rFonts w:ascii="Times New Roman" w:eastAsia="Times New Roman" w:hAnsi="Times New Roman" w:cs="Times New Roman"/>
            <w:color w:val="0000FF"/>
            <w:sz w:val="13"/>
            <w:szCs w:val="13"/>
            <w:u w:val="single"/>
            <w:vertAlign w:val="superscript"/>
          </w:rPr>
          <w:t>3</w:t>
        </w:r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)</w:t>
        </w:r>
      </w:hyperlink>
      <w:r w:rsidRPr="00754E54">
        <w:rPr>
          <w:rFonts w:ascii="Times New Roman" w:eastAsia="Times New Roman" w:hAnsi="Times New Roman" w:cs="Times New Roman"/>
          <w:color w:val="000000"/>
          <w:sz w:val="19"/>
          <w:szCs w:val="19"/>
        </w:rPr>
        <w:t>  За изготвен от него бенчмарк с малка значимост заявителят може да не представя информацията по точка 4, буква а), подточка iii) от приложение I (с изключение на информацията, свързана със създаването и поддържането на постоянна функция по наблюдение) и част от информацията, чието предоставяне се изисква относно механизмите за контрол и отчетност по точка 4, буква а), подточка iv) и точка 4, буква а), подточка v) от приложение I – свързана с, който заявителят изготвя.</w:t>
      </w:r>
    </w:p>
    <w:p w:rsidR="00754E54" w:rsidRPr="00754E54" w:rsidRDefault="00754E54" w:rsidP="00754E5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hyperlink r:id="rId40" w:anchor="ntc4-L_2018274BG.01004901-E0004" w:history="1"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(</w:t>
        </w:r>
        <w:r w:rsidRPr="00754E54">
          <w:rPr>
            <w:rFonts w:ascii="Times New Roman" w:eastAsia="Times New Roman" w:hAnsi="Times New Roman" w:cs="Times New Roman"/>
            <w:color w:val="0000FF"/>
            <w:sz w:val="13"/>
            <w:szCs w:val="13"/>
            <w:u w:val="single"/>
            <w:vertAlign w:val="superscript"/>
          </w:rPr>
          <w:t>4</w:t>
        </w:r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)</w:t>
        </w:r>
      </w:hyperlink>
      <w:r w:rsidRPr="00754E54">
        <w:rPr>
          <w:rFonts w:ascii="Times New Roman" w:eastAsia="Times New Roman" w:hAnsi="Times New Roman" w:cs="Times New Roman"/>
          <w:color w:val="000000"/>
          <w:sz w:val="19"/>
          <w:szCs w:val="19"/>
        </w:rPr>
        <w:t>  Поднадзорен субект, който изготвя както значими бенчмаркове, така и такива с малка значимост, може да представи тази информация в резюмиран вид, когато се отнася за бенчмарковете с малка значимост.</w:t>
      </w:r>
    </w:p>
    <w:p w:rsidR="00754E54" w:rsidRPr="00754E54" w:rsidRDefault="00754E54" w:rsidP="00754E5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hyperlink r:id="rId41" w:anchor="ntc5-L_2018274BG.01004901-E0005" w:history="1"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(</w:t>
        </w:r>
        <w:r w:rsidRPr="00754E54">
          <w:rPr>
            <w:rFonts w:ascii="Times New Roman" w:eastAsia="Times New Roman" w:hAnsi="Times New Roman" w:cs="Times New Roman"/>
            <w:color w:val="0000FF"/>
            <w:sz w:val="13"/>
            <w:szCs w:val="13"/>
            <w:u w:val="single"/>
            <w:vertAlign w:val="superscript"/>
          </w:rPr>
          <w:t>5</w:t>
        </w:r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)</w:t>
        </w:r>
      </w:hyperlink>
      <w:r w:rsidRPr="00754E54">
        <w:rPr>
          <w:rFonts w:ascii="Times New Roman" w:eastAsia="Times New Roman" w:hAnsi="Times New Roman" w:cs="Times New Roman"/>
          <w:color w:val="000000"/>
          <w:sz w:val="19"/>
          <w:szCs w:val="19"/>
        </w:rPr>
        <w:t>  За изготвен от него бенчмарк с малка значимост заявителят може да избере да не представя информация дали входящите данни подлежат на проверка</w:t>
      </w:r>
    </w:p>
    <w:p w:rsidR="00754E54" w:rsidRPr="00754E54" w:rsidRDefault="00754E54" w:rsidP="00754E5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hyperlink r:id="rId42" w:anchor="ntc6-L_2018274BG.01004901-E0006" w:history="1"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(</w:t>
        </w:r>
        <w:r w:rsidRPr="00754E54">
          <w:rPr>
            <w:rFonts w:ascii="Times New Roman" w:eastAsia="Times New Roman" w:hAnsi="Times New Roman" w:cs="Times New Roman"/>
            <w:color w:val="0000FF"/>
            <w:sz w:val="13"/>
            <w:szCs w:val="13"/>
            <w:u w:val="single"/>
            <w:vertAlign w:val="superscript"/>
          </w:rPr>
          <w:t>6</w:t>
        </w:r>
        <w:r w:rsidRPr="00754E54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)</w:t>
        </w:r>
      </w:hyperlink>
      <w:r w:rsidRPr="00754E54">
        <w:rPr>
          <w:rFonts w:ascii="Times New Roman" w:eastAsia="Times New Roman" w:hAnsi="Times New Roman" w:cs="Times New Roman"/>
          <w:color w:val="000000"/>
          <w:sz w:val="19"/>
          <w:szCs w:val="19"/>
        </w:rPr>
        <w:t>  Поднадзорен субект, който изготвя както значими бенчмаркове, така и такива с малка значимост, може да представя тази информация само когато тя се отнася за изготвените от него значими бенчмарковете.</w:t>
      </w:r>
    </w:p>
    <w:p w:rsidR="00310E65" w:rsidRDefault="00310E65"/>
    <w:sectPr w:rsidR="00310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54"/>
    <w:rsid w:val="00310E65"/>
    <w:rsid w:val="0075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F1354-13DA-4FC3-90AB-BDEFABE0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754E5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"/>
    <w:basedOn w:val="Normal"/>
    <w:rsid w:val="00754E5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754E54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bl-hdr">
    <w:name w:val="tbl-hdr"/>
    <w:basedOn w:val="Normal"/>
    <w:rsid w:val="00754E54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bl-txt">
    <w:name w:val="tbl-txt"/>
    <w:basedOn w:val="Normal"/>
    <w:rsid w:val="00754E54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ti-grseq-1">
    <w:name w:val="ti-grseq-1"/>
    <w:basedOn w:val="Normal"/>
    <w:rsid w:val="00754E54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DefaultParagraphFont"/>
    <w:rsid w:val="00754E54"/>
    <w:rPr>
      <w:b/>
      <w:bCs/>
    </w:rPr>
  </w:style>
  <w:style w:type="character" w:customStyle="1" w:styleId="super">
    <w:name w:val="super"/>
    <w:basedOn w:val="DefaultParagraphFont"/>
    <w:rsid w:val="00754E54"/>
    <w:rPr>
      <w:sz w:val="17"/>
      <w:szCs w:val="17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54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06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BG/TXT/HTML/?uri=CELEX:32018R1646&amp;from=EN" TargetMode="External"/><Relationship Id="rId18" Type="http://schemas.openxmlformats.org/officeDocument/2006/relationships/hyperlink" Target="https://eur-lex.europa.eu/legal-content/BG/TXT/HTML/?uri=CELEX:32018R1646&amp;from=EN" TargetMode="External"/><Relationship Id="rId26" Type="http://schemas.openxmlformats.org/officeDocument/2006/relationships/hyperlink" Target="https://eur-lex.europa.eu/legal-content/BG/TXT/HTML/?uri=CELEX:32018R1646&amp;from=EN" TargetMode="External"/><Relationship Id="rId39" Type="http://schemas.openxmlformats.org/officeDocument/2006/relationships/hyperlink" Target="https://eur-lex.europa.eu/legal-content/BG/TXT/HTML/?uri=CELEX:32018R1646&amp;from=EN" TargetMode="External"/><Relationship Id="rId21" Type="http://schemas.openxmlformats.org/officeDocument/2006/relationships/hyperlink" Target="https://eur-lex.europa.eu/legal-content/BG/TXT/HTML/?uri=CELEX:32018R1646&amp;from=EN" TargetMode="External"/><Relationship Id="rId34" Type="http://schemas.openxmlformats.org/officeDocument/2006/relationships/hyperlink" Target="https://eur-lex.europa.eu/legal-content/BG/TXT/HTML/?uri=CELEX:32018R1646&amp;from=EN" TargetMode="External"/><Relationship Id="rId42" Type="http://schemas.openxmlformats.org/officeDocument/2006/relationships/hyperlink" Target="https://eur-lex.europa.eu/legal-content/BG/TXT/HTML/?uri=CELEX:32018R1646&amp;from=EN" TargetMode="External"/><Relationship Id="rId7" Type="http://schemas.openxmlformats.org/officeDocument/2006/relationships/hyperlink" Target="https://eur-lex.europa.eu/legal-content/BG/TXT/HTML/?uri=CELEX:32018R1646&amp;from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-lex.europa.eu/legal-content/BG/TXT/HTML/?uri=CELEX:32018R1646&amp;from=EN" TargetMode="External"/><Relationship Id="rId20" Type="http://schemas.openxmlformats.org/officeDocument/2006/relationships/hyperlink" Target="https://eur-lex.europa.eu/legal-content/BG/TXT/HTML/?uri=CELEX:32018R1646&amp;from=EN" TargetMode="External"/><Relationship Id="rId29" Type="http://schemas.openxmlformats.org/officeDocument/2006/relationships/hyperlink" Target="https://eur-lex.europa.eu/legal-content/BG/TXT/HTML/?uri=CELEX:32018R1646&amp;from=EN" TargetMode="External"/><Relationship Id="rId41" Type="http://schemas.openxmlformats.org/officeDocument/2006/relationships/hyperlink" Target="https://eur-lex.europa.eu/legal-content/BG/TXT/HTML/?uri=CELEX:32018R1646&amp;from=EN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BG/TXT/HTML/?uri=CELEX:32018R1646&amp;from=EN" TargetMode="External"/><Relationship Id="rId11" Type="http://schemas.openxmlformats.org/officeDocument/2006/relationships/hyperlink" Target="https://eur-lex.europa.eu/legal-content/BG/TXT/HTML/?uri=CELEX:32018R1646&amp;from=EN" TargetMode="External"/><Relationship Id="rId24" Type="http://schemas.openxmlformats.org/officeDocument/2006/relationships/hyperlink" Target="https://eur-lex.europa.eu/legal-content/BG/TXT/HTML/?uri=CELEX:32018R1646&amp;from=EN" TargetMode="External"/><Relationship Id="rId32" Type="http://schemas.openxmlformats.org/officeDocument/2006/relationships/hyperlink" Target="https://eur-lex.europa.eu/legal-content/BG/TXT/HTML/?uri=CELEX:32018R1646&amp;from=EN" TargetMode="External"/><Relationship Id="rId37" Type="http://schemas.openxmlformats.org/officeDocument/2006/relationships/hyperlink" Target="https://eur-lex.europa.eu/legal-content/BG/TXT/HTML/?uri=CELEX:32018R1646&amp;from=EN" TargetMode="External"/><Relationship Id="rId40" Type="http://schemas.openxmlformats.org/officeDocument/2006/relationships/hyperlink" Target="https://eur-lex.europa.eu/legal-content/BG/TXT/HTML/?uri=CELEX:32018R1646&amp;from=EN" TargetMode="External"/><Relationship Id="rId5" Type="http://schemas.openxmlformats.org/officeDocument/2006/relationships/hyperlink" Target="https://eur-lex.europa.eu/legal-content/BG/TXT/HTML/?uri=CELEX:32018R1646&amp;from=EN" TargetMode="External"/><Relationship Id="rId15" Type="http://schemas.openxmlformats.org/officeDocument/2006/relationships/hyperlink" Target="https://eur-lex.europa.eu/legal-content/BG/TXT/HTML/?uri=CELEX:32018R1646&amp;from=EN" TargetMode="External"/><Relationship Id="rId23" Type="http://schemas.openxmlformats.org/officeDocument/2006/relationships/hyperlink" Target="https://eur-lex.europa.eu/legal-content/BG/TXT/HTML/?uri=CELEX:32018R1646&amp;from=EN" TargetMode="External"/><Relationship Id="rId28" Type="http://schemas.openxmlformats.org/officeDocument/2006/relationships/hyperlink" Target="https://eur-lex.europa.eu/legal-content/BG/TXT/HTML/?uri=CELEX:32018R1646&amp;from=EN" TargetMode="External"/><Relationship Id="rId36" Type="http://schemas.openxmlformats.org/officeDocument/2006/relationships/hyperlink" Target="https://eur-lex.europa.eu/legal-content/BG/TXT/HTML/?uri=CELEX:32018R1646&amp;from=EN" TargetMode="External"/><Relationship Id="rId10" Type="http://schemas.openxmlformats.org/officeDocument/2006/relationships/hyperlink" Target="https://eur-lex.europa.eu/legal-content/BG/TXT/HTML/?uri=CELEX:32018R1646&amp;from=EN" TargetMode="External"/><Relationship Id="rId19" Type="http://schemas.openxmlformats.org/officeDocument/2006/relationships/hyperlink" Target="https://eur-lex.europa.eu/legal-content/BG/TXT/HTML/?uri=CELEX:32018R1646&amp;from=EN" TargetMode="External"/><Relationship Id="rId31" Type="http://schemas.openxmlformats.org/officeDocument/2006/relationships/hyperlink" Target="https://eur-lex.europa.eu/legal-content/BG/TXT/HTML/?uri=CELEX:32018R1646&amp;from=EN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eur-lex.europa.eu/legal-content/BG/TXT/HTML/?uri=CELEX:32018R1646&amp;from=EN" TargetMode="External"/><Relationship Id="rId9" Type="http://schemas.openxmlformats.org/officeDocument/2006/relationships/hyperlink" Target="https://eur-lex.europa.eu/legal-content/BG/TXT/HTML/?uri=CELEX:32018R1646&amp;from=EN" TargetMode="External"/><Relationship Id="rId14" Type="http://schemas.openxmlformats.org/officeDocument/2006/relationships/hyperlink" Target="https://eur-lex.europa.eu/legal-content/BG/TXT/HTML/?uri=CELEX:32018R1646&amp;from=EN" TargetMode="External"/><Relationship Id="rId22" Type="http://schemas.openxmlformats.org/officeDocument/2006/relationships/hyperlink" Target="https://eur-lex.europa.eu/legal-content/BG/TXT/HTML/?uri=CELEX:32018R1646&amp;from=EN" TargetMode="External"/><Relationship Id="rId27" Type="http://schemas.openxmlformats.org/officeDocument/2006/relationships/hyperlink" Target="https://eur-lex.europa.eu/legal-content/BG/TXT/HTML/?uri=CELEX:32018R1646&amp;from=EN" TargetMode="External"/><Relationship Id="rId30" Type="http://schemas.openxmlformats.org/officeDocument/2006/relationships/hyperlink" Target="https://eur-lex.europa.eu/legal-content/BG/TXT/HTML/?uri=CELEX:32018R1646&amp;from=EN" TargetMode="External"/><Relationship Id="rId35" Type="http://schemas.openxmlformats.org/officeDocument/2006/relationships/hyperlink" Target="https://eur-lex.europa.eu/legal-content/BG/TXT/HTML/?uri=CELEX:32018R1646&amp;from=EN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eur-lex.europa.eu/legal-content/BG/TXT/HTML/?uri=CELEX:32018R1646&amp;from=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ur-lex.europa.eu/legal-content/BG/TXT/HTML/?uri=CELEX:32018R1646&amp;from=EN" TargetMode="External"/><Relationship Id="rId17" Type="http://schemas.openxmlformats.org/officeDocument/2006/relationships/hyperlink" Target="https://eur-lex.europa.eu/legal-content/BG/TXT/HTML/?uri=CELEX:32018R1646&amp;from=EN" TargetMode="External"/><Relationship Id="rId25" Type="http://schemas.openxmlformats.org/officeDocument/2006/relationships/hyperlink" Target="https://eur-lex.europa.eu/legal-content/BG/TXT/HTML/?uri=CELEX:32018R1646&amp;from=EN" TargetMode="External"/><Relationship Id="rId33" Type="http://schemas.openxmlformats.org/officeDocument/2006/relationships/hyperlink" Target="https://eur-lex.europa.eu/legal-content/BG/TXT/HTML/?uri=CELEX:32018R1646&amp;from=EN" TargetMode="External"/><Relationship Id="rId38" Type="http://schemas.openxmlformats.org/officeDocument/2006/relationships/hyperlink" Target="https://eur-lex.europa.eu/legal-content/BG/TXT/HTML/?uri=CELEX:32018R1646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2851</Words>
  <Characters>16251</Characters>
  <Application>Microsoft Office Word</Application>
  <DocSecurity>0</DocSecurity>
  <Lines>135</Lines>
  <Paragraphs>38</Paragraphs>
  <ScaleCrop>false</ScaleCrop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 Dimitrov</dc:creator>
  <cp:keywords/>
  <dc:description/>
  <cp:lastModifiedBy>Iliyan Dimitrov</cp:lastModifiedBy>
  <cp:revision>1</cp:revision>
  <dcterms:created xsi:type="dcterms:W3CDTF">2018-12-28T20:09:00Z</dcterms:created>
  <dcterms:modified xsi:type="dcterms:W3CDTF">2018-12-28T20:11:00Z</dcterms:modified>
</cp:coreProperties>
</file>