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474918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FB5D93" w:rsidRDefault="00FB5D93" w:rsidP="004749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2072</w:t>
      </w:r>
      <w:r w:rsidR="00497583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74FB9"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B5D9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Нотариално удостоверяване на верността на преписи и извлечения </w:t>
      </w:r>
    </w:p>
    <w:p w:rsidR="00FB5D93" w:rsidRDefault="00FB5D93" w:rsidP="004749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B5D9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 документи и книжа </w:t>
      </w:r>
    </w:p>
    <w:p w:rsidR="0036189D" w:rsidRPr="00432707" w:rsidRDefault="0036189D" w:rsidP="0047491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474918" w:rsidRPr="00490FD0" w:rsidRDefault="00474918" w:rsidP="006510CC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50076F">
        <w:rPr>
          <w:rFonts w:ascii="Times New Roman" w:hAnsi="Times New Roman" w:cs="Times New Roman"/>
        </w:rPr>
        <w:t>Закон</w:t>
      </w:r>
      <w:proofErr w:type="spellEnd"/>
      <w:r w:rsidRPr="0050076F">
        <w:rPr>
          <w:rFonts w:ascii="Times New Roman" w:hAnsi="Times New Roman" w:cs="Times New Roman"/>
        </w:rPr>
        <w:t xml:space="preserve"> </w:t>
      </w:r>
      <w:proofErr w:type="spellStart"/>
      <w:r w:rsidRPr="0050076F">
        <w:rPr>
          <w:rFonts w:ascii="Times New Roman" w:hAnsi="Times New Roman" w:cs="Times New Roman"/>
        </w:rPr>
        <w:t>за</w:t>
      </w:r>
      <w:proofErr w:type="spellEnd"/>
      <w:r w:rsidRPr="0050076F">
        <w:rPr>
          <w:rFonts w:ascii="Times New Roman" w:hAnsi="Times New Roman" w:cs="Times New Roman"/>
        </w:rPr>
        <w:t xml:space="preserve"> </w:t>
      </w:r>
      <w:proofErr w:type="spellStart"/>
      <w:r w:rsidRPr="0050076F">
        <w:rPr>
          <w:rFonts w:ascii="Times New Roman" w:hAnsi="Times New Roman" w:cs="Times New Roman"/>
        </w:rPr>
        <w:t>нотариусите</w:t>
      </w:r>
      <w:proofErr w:type="spellEnd"/>
      <w:r w:rsidRPr="0050076F">
        <w:rPr>
          <w:rFonts w:ascii="Times New Roman" w:hAnsi="Times New Roman" w:cs="Times New Roman"/>
        </w:rPr>
        <w:t xml:space="preserve"> и </w:t>
      </w:r>
      <w:proofErr w:type="spellStart"/>
      <w:r w:rsidRPr="0050076F">
        <w:rPr>
          <w:rFonts w:ascii="Times New Roman" w:hAnsi="Times New Roman" w:cs="Times New Roman"/>
        </w:rPr>
        <w:t>нотариалната</w:t>
      </w:r>
      <w:proofErr w:type="spellEnd"/>
      <w:r w:rsidRPr="0050076F">
        <w:rPr>
          <w:rFonts w:ascii="Times New Roman" w:hAnsi="Times New Roman" w:cs="Times New Roman"/>
        </w:rPr>
        <w:t xml:space="preserve"> </w:t>
      </w:r>
      <w:proofErr w:type="spellStart"/>
      <w:r w:rsidRPr="0050076F">
        <w:rPr>
          <w:rFonts w:ascii="Times New Roman" w:hAnsi="Times New Roman" w:cs="Times New Roman"/>
        </w:rPr>
        <w:t>дейност</w:t>
      </w:r>
      <w:proofErr w:type="spellEnd"/>
      <w:r w:rsidRPr="0050076F">
        <w:rPr>
          <w:rFonts w:ascii="Times New Roman" w:hAnsi="Times New Roman" w:cs="Times New Roman"/>
        </w:rPr>
        <w:t xml:space="preserve"> - </w:t>
      </w:r>
      <w:proofErr w:type="spellStart"/>
      <w:r w:rsidRPr="0050076F">
        <w:rPr>
          <w:rFonts w:ascii="Times New Roman" w:hAnsi="Times New Roman" w:cs="Times New Roman"/>
        </w:rPr>
        <w:t>чл</w:t>
      </w:r>
      <w:proofErr w:type="spellEnd"/>
      <w:r w:rsidRPr="0050076F">
        <w:rPr>
          <w:rFonts w:ascii="Times New Roman" w:hAnsi="Times New Roman" w:cs="Times New Roman"/>
        </w:rPr>
        <w:t>. 83</w:t>
      </w:r>
    </w:p>
    <w:p w:rsidR="00490FD0" w:rsidRPr="00474918" w:rsidRDefault="00490FD0" w:rsidP="00490FD0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Т</w:t>
      </w:r>
      <w:r w:rsidRPr="00490FD0">
        <w:rPr>
          <w:rFonts w:ascii="Times New Roman" w:eastAsia="Calibri" w:hAnsi="Times New Roman" w:cs="Times New Roman"/>
          <w:sz w:val="24"/>
          <w:szCs w:val="24"/>
          <w:lang w:val="bg-BG"/>
        </w:rPr>
        <w:t>арифа за нотариалните такси към закона за нотариусите и нотариалната дейност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490FD0" w:rsidRDefault="00490FD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E672A5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Кмет / </w:t>
      </w:r>
      <w:r w:rsidR="00490FD0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9C2B02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490FD0">
        <w:rPr>
          <w:rFonts w:ascii="Times New Roman" w:hAnsi="Times New Roman" w:cs="Times New Roman"/>
          <w:sz w:val="24"/>
          <w:szCs w:val="24"/>
          <w:lang w:val="bg-BG"/>
        </w:rPr>
        <w:t xml:space="preserve"> Община Челопеч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E672A5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C2B02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>
        <w:rPr>
          <w:rFonts w:eastAsia="Calibri"/>
          <w:bCs/>
        </w:rPr>
        <w:t xml:space="preserve">Протокол за устно заявяване </w:t>
      </w:r>
      <w:r w:rsidR="0094474F" w:rsidRPr="0094474F">
        <w:rPr>
          <w:rFonts w:eastAsia="Calibri"/>
          <w:bCs/>
        </w:rPr>
        <w:t>по образец;</w:t>
      </w:r>
    </w:p>
    <w:p w:rsidR="0094474F" w:rsidRPr="00542DD0" w:rsidRDefault="00966FFD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>
        <w:rPr>
          <w:rFonts w:eastAsia="Calibri"/>
        </w:rPr>
        <w:t xml:space="preserve">Документ за самоличност </w:t>
      </w:r>
      <w:r w:rsidR="0094474F" w:rsidRPr="0094474F">
        <w:rPr>
          <w:rFonts w:eastAsia="Calibri"/>
        </w:rPr>
        <w:t xml:space="preserve"> </w:t>
      </w:r>
      <w:r>
        <w:rPr>
          <w:rFonts w:eastAsia="Calibri"/>
          <w:i/>
        </w:rPr>
        <w:t>/*Необходим</w:t>
      </w:r>
      <w:r w:rsidR="0094474F" w:rsidRPr="0094474F">
        <w:rPr>
          <w:rFonts w:eastAsia="Calibri"/>
          <w:i/>
        </w:rPr>
        <w:t xml:space="preserve"> са</w:t>
      </w:r>
      <w:r>
        <w:rPr>
          <w:rFonts w:eastAsia="Calibri"/>
          <w:i/>
        </w:rPr>
        <w:t>мо за легитимиране на заявителя</w:t>
      </w:r>
      <w:r w:rsidR="00D032CB">
        <w:rPr>
          <w:rFonts w:eastAsia="Calibri"/>
          <w:i/>
        </w:rPr>
        <w:t xml:space="preserve"> или средство за идентификация при подаване на заявление по електронен път</w:t>
      </w:r>
      <w:r w:rsidR="0094474F" w:rsidRPr="0094474F">
        <w:rPr>
          <w:rFonts w:eastAsia="Calibri"/>
          <w:i/>
        </w:rPr>
        <w:t>/;</w:t>
      </w:r>
    </w:p>
    <w:p w:rsidR="00542DD0" w:rsidRPr="00542DD0" w:rsidRDefault="00542DD0" w:rsidP="00542DD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bg-BG"/>
        </w:rPr>
      </w:pPr>
      <w:r w:rsidRPr="00542DD0">
        <w:rPr>
          <w:rFonts w:ascii="Times New Roman" w:hAnsi="Times New Roman"/>
          <w:bCs/>
          <w:sz w:val="24"/>
          <w:szCs w:val="24"/>
          <w:lang w:val="bg-BG"/>
        </w:rPr>
        <w:t>Документ, от който е направен преписът или извлечението, представен за удостоверяване – оригинал;</w:t>
      </w:r>
    </w:p>
    <w:p w:rsidR="00542DD0" w:rsidRPr="00542DD0" w:rsidRDefault="00542DD0" w:rsidP="00542DD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bg-BG"/>
        </w:rPr>
      </w:pPr>
      <w:r w:rsidRPr="00542DD0">
        <w:rPr>
          <w:rFonts w:ascii="Times New Roman" w:hAnsi="Times New Roman"/>
          <w:bCs/>
          <w:sz w:val="24"/>
          <w:szCs w:val="24"/>
          <w:lang w:val="bg-BG"/>
        </w:rPr>
        <w:t>Копие на документа, от който е направен преписът или извлечението, представен за удостоверяване (при необходимост);</w:t>
      </w:r>
    </w:p>
    <w:p w:rsidR="00542DD0" w:rsidRPr="00542DD0" w:rsidRDefault="00542DD0" w:rsidP="00542DD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bg-BG"/>
        </w:rPr>
      </w:pPr>
      <w:r w:rsidRPr="00542DD0">
        <w:rPr>
          <w:rFonts w:ascii="Times New Roman" w:hAnsi="Times New Roman"/>
          <w:bCs/>
          <w:sz w:val="24"/>
          <w:szCs w:val="24"/>
          <w:lang w:val="bg-BG"/>
        </w:rPr>
        <w:t>Препис или извлечение, за което сл</w:t>
      </w:r>
      <w:r>
        <w:rPr>
          <w:rFonts w:ascii="Times New Roman" w:hAnsi="Times New Roman"/>
          <w:bCs/>
          <w:sz w:val="24"/>
          <w:szCs w:val="24"/>
          <w:lang w:val="bg-BG"/>
        </w:rPr>
        <w:t>едва да се удостовери верността;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565C32" w:rsidRDefault="00565C32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542DD0" w:rsidRDefault="00542DD0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542DD0" w:rsidRDefault="00542DD0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lastRenderedPageBreak/>
        <w:t>Процедура по предоставяне на услугата:</w:t>
      </w:r>
    </w:p>
    <w:p w:rsidR="001F0D43" w:rsidRPr="009C2B02" w:rsidRDefault="00565C32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</w:t>
      </w:r>
      <w:r w:rsidR="009C2B0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протокола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="001F0D43"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9C2B02" w:rsidRPr="001F0D43" w:rsidRDefault="009C2B02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Изготвяне на </w:t>
      </w:r>
      <w:r w:rsidR="00FB5D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преписа/извлечението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които ще се заверява;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</w:t>
      </w:r>
      <w:r w:rsidR="009C2B0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Програмен продукт „Нота регистър“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9C2B0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документа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E672A5" w:rsidRPr="00E3097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възможност за изтегляне;</w:t>
      </w:r>
    </w:p>
    <w:p w:rsidR="009C4CE5" w:rsidRPr="009D5512" w:rsidRDefault="009C4CE5" w:rsidP="00E672A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интернет страницата на община Челопеч:</w:t>
      </w:r>
      <w:r w:rsidR="00E672A5" w:rsidRPr="00E672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2" w:history="1">
        <w:r w:rsidR="00E672A5" w:rsidRPr="00E3097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E672A5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нтернет страницата на община Челопеч:</w:t>
      </w:r>
      <w:r w:rsidR="00E672A5" w:rsidRPr="00E672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5" w:history="1">
        <w:r w:rsidR="00E672A5" w:rsidRPr="00E3097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E672A5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672A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E672A5" w:rsidRPr="00E672A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hyperlink r:id="rId18" w:history="1">
        <w:r w:rsidR="00E672A5" w:rsidRPr="00E672A5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E672A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E672A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– </w:t>
      </w:r>
      <w:r w:rsidR="00D5023A" w:rsidRPr="00E672A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E672A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E672A5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E672A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72A5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E672A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72A5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E672A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72A5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E672A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E672A5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E672A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72A5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672A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72A5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672A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72A5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672A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E672A5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E672A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72A5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672A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72A5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E672A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72A5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E672A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672A5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672A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72A5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672A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72A5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E672A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72A5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E672A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672A5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E672A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E672A5">
      <w:pPr>
        <w:pStyle w:val="ac"/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F108EE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Без срок</w:t>
      </w:r>
    </w:p>
    <w:p w:rsidR="00AD0E40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AE5B03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 – обикновена услуга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F108EE" w:rsidRPr="00F108EE" w:rsidRDefault="00F108EE" w:rsidP="00F108EE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</w:t>
      </w:r>
    </w:p>
    <w:p w:rsidR="00F108EE" w:rsidRPr="00F108EE" w:rsidRDefault="00F108EE" w:rsidP="00F108EE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</w:t>
      </w:r>
      <w:r w:rsidR="00FB5D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Първа страница – 3.00 лв.</w:t>
      </w:r>
    </w:p>
    <w:p w:rsidR="00563127" w:rsidRDefault="00F108EE" w:rsidP="00F108EE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</w:t>
      </w:r>
      <w:r w:rsidRPr="00F108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</w:t>
      </w:r>
      <w:r w:rsidR="00FB5D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Всяка следваща </w:t>
      </w:r>
      <w:r w:rsidRPr="00F108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2.00 лв.</w:t>
      </w:r>
    </w:p>
    <w:p w:rsidR="00F108EE" w:rsidRDefault="00F108EE" w:rsidP="00F108EE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E672A5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F108EE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Други административни услуги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E672A5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780EB1" w:rsidRPr="00E672A5" w:rsidRDefault="00E672A5" w:rsidP="00E672A5">
      <w:pPr>
        <w:pStyle w:val="ac"/>
        <w:spacing w:after="120" w:line="240" w:lineRule="auto"/>
        <w:ind w:left="1080"/>
        <w:jc w:val="both"/>
        <w:rPr>
          <w:rFonts w:ascii="Times New Roman" w:eastAsia="Calibri" w:hAnsi="Times New Roman" w:cs="Times New Roman"/>
          <w:i/>
          <w:lang w:val="bg-BG"/>
        </w:rPr>
      </w:pPr>
      <w:hyperlink r:id="rId24" w:history="1">
        <w:r w:rsidRPr="00E672A5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E672A5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E672A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E672A5" w:rsidRPr="00E672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9" w:history="1">
        <w:r w:rsidR="00E672A5" w:rsidRPr="00E3097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E672A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E672A5" w:rsidRPr="00E3097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076" w:rsidRDefault="00316076" w:rsidP="0036189D">
      <w:pPr>
        <w:spacing w:after="0" w:line="240" w:lineRule="auto"/>
      </w:pPr>
      <w:r>
        <w:separator/>
      </w:r>
    </w:p>
  </w:endnote>
  <w:endnote w:type="continuationSeparator" w:id="0">
    <w:p w:rsidR="00316076" w:rsidRDefault="00316076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72A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076" w:rsidRDefault="00316076" w:rsidP="0036189D">
      <w:pPr>
        <w:spacing w:after="0" w:line="240" w:lineRule="auto"/>
      </w:pPr>
      <w:r>
        <w:separator/>
      </w:r>
    </w:p>
  </w:footnote>
  <w:footnote w:type="continuationSeparator" w:id="0">
    <w:p w:rsidR="00316076" w:rsidRDefault="00316076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92D6D"/>
    <w:rsid w:val="000A6E8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F0D43"/>
    <w:rsid w:val="001F3CDE"/>
    <w:rsid w:val="002166D7"/>
    <w:rsid w:val="00247B1D"/>
    <w:rsid w:val="002549E1"/>
    <w:rsid w:val="002705E3"/>
    <w:rsid w:val="002B6A1E"/>
    <w:rsid w:val="002D3257"/>
    <w:rsid w:val="00316076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74918"/>
    <w:rsid w:val="004825E6"/>
    <w:rsid w:val="0049014F"/>
    <w:rsid w:val="00490FD0"/>
    <w:rsid w:val="00497583"/>
    <w:rsid w:val="004B6B70"/>
    <w:rsid w:val="004E180E"/>
    <w:rsid w:val="004E65C8"/>
    <w:rsid w:val="004E7CC7"/>
    <w:rsid w:val="004F511A"/>
    <w:rsid w:val="005164B5"/>
    <w:rsid w:val="00524856"/>
    <w:rsid w:val="0053597F"/>
    <w:rsid w:val="00542DD0"/>
    <w:rsid w:val="00563127"/>
    <w:rsid w:val="00565C32"/>
    <w:rsid w:val="00577011"/>
    <w:rsid w:val="005867F1"/>
    <w:rsid w:val="005B37DF"/>
    <w:rsid w:val="00635C71"/>
    <w:rsid w:val="006453B0"/>
    <w:rsid w:val="006510CC"/>
    <w:rsid w:val="00687AE1"/>
    <w:rsid w:val="00691C35"/>
    <w:rsid w:val="00695CBA"/>
    <w:rsid w:val="006B342A"/>
    <w:rsid w:val="006C57B4"/>
    <w:rsid w:val="00703D77"/>
    <w:rsid w:val="00744FB6"/>
    <w:rsid w:val="0074612E"/>
    <w:rsid w:val="007536CB"/>
    <w:rsid w:val="00754D87"/>
    <w:rsid w:val="00780EB1"/>
    <w:rsid w:val="007B3594"/>
    <w:rsid w:val="007D509F"/>
    <w:rsid w:val="007D560D"/>
    <w:rsid w:val="00861711"/>
    <w:rsid w:val="00885804"/>
    <w:rsid w:val="008A49CD"/>
    <w:rsid w:val="00904331"/>
    <w:rsid w:val="00920413"/>
    <w:rsid w:val="0094474F"/>
    <w:rsid w:val="00966FFD"/>
    <w:rsid w:val="00974FB9"/>
    <w:rsid w:val="009B55F8"/>
    <w:rsid w:val="009C2B02"/>
    <w:rsid w:val="009C4CE5"/>
    <w:rsid w:val="009D5512"/>
    <w:rsid w:val="009E7732"/>
    <w:rsid w:val="009F1744"/>
    <w:rsid w:val="00A201AF"/>
    <w:rsid w:val="00A21489"/>
    <w:rsid w:val="00A22753"/>
    <w:rsid w:val="00AA3138"/>
    <w:rsid w:val="00AB6C5D"/>
    <w:rsid w:val="00AD0E40"/>
    <w:rsid w:val="00AD678A"/>
    <w:rsid w:val="00AE5B03"/>
    <w:rsid w:val="00B039D4"/>
    <w:rsid w:val="00B10695"/>
    <w:rsid w:val="00B41CE7"/>
    <w:rsid w:val="00B61EB2"/>
    <w:rsid w:val="00B803AC"/>
    <w:rsid w:val="00B9136F"/>
    <w:rsid w:val="00BB034D"/>
    <w:rsid w:val="00BB2E11"/>
    <w:rsid w:val="00BE2257"/>
    <w:rsid w:val="00C00A49"/>
    <w:rsid w:val="00C075C0"/>
    <w:rsid w:val="00C120D8"/>
    <w:rsid w:val="00C214FB"/>
    <w:rsid w:val="00C4559C"/>
    <w:rsid w:val="00C62215"/>
    <w:rsid w:val="00C77380"/>
    <w:rsid w:val="00C91C4C"/>
    <w:rsid w:val="00CB0C4A"/>
    <w:rsid w:val="00CB61E3"/>
    <w:rsid w:val="00CF56F5"/>
    <w:rsid w:val="00D032CB"/>
    <w:rsid w:val="00D26810"/>
    <w:rsid w:val="00D366B8"/>
    <w:rsid w:val="00D5023A"/>
    <w:rsid w:val="00DB221D"/>
    <w:rsid w:val="00DD0C34"/>
    <w:rsid w:val="00DD1F9A"/>
    <w:rsid w:val="00E02B2F"/>
    <w:rsid w:val="00E27379"/>
    <w:rsid w:val="00E37D1C"/>
    <w:rsid w:val="00E4555E"/>
    <w:rsid w:val="00E672A5"/>
    <w:rsid w:val="00E762B8"/>
    <w:rsid w:val="00EE5C24"/>
    <w:rsid w:val="00EE6EDD"/>
    <w:rsid w:val="00EF6BA1"/>
    <w:rsid w:val="00F056FE"/>
    <w:rsid w:val="00F108EE"/>
    <w:rsid w:val="00F17102"/>
    <w:rsid w:val="00F22931"/>
    <w:rsid w:val="00F447F2"/>
    <w:rsid w:val="00F50A38"/>
    <w:rsid w:val="00F70AF9"/>
    <w:rsid w:val="00F87E51"/>
    <w:rsid w:val="00F95DA9"/>
    <w:rsid w:val="00FB0496"/>
    <w:rsid w:val="00FB5D93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40DA0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135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30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6187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1499</Words>
  <Characters>8548</Characters>
  <Application>Microsoft Office Word</Application>
  <DocSecurity>0</DocSecurity>
  <Lines>71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15</cp:revision>
  <dcterms:created xsi:type="dcterms:W3CDTF">2020-06-08T07:15:00Z</dcterms:created>
  <dcterms:modified xsi:type="dcterms:W3CDTF">2021-02-17T06:37:00Z</dcterms:modified>
</cp:coreProperties>
</file>