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63" w:rsidRDefault="00641B17">
      <w:pPr>
        <w:pStyle w:val="Bodytext30"/>
        <w:shd w:val="clear" w:color="auto" w:fill="auto"/>
        <w:spacing w:line="240" w:lineRule="auto"/>
      </w:pPr>
      <w:r>
        <w:rPr>
          <w:b w:val="0"/>
          <w:bCs w:val="0"/>
        </w:rPr>
        <w:t>Член 1</w:t>
      </w:r>
    </w:p>
    <w:p w:rsidR="00712663" w:rsidRDefault="00641B17">
      <w:pPr>
        <w:pStyle w:val="Bodytext30"/>
        <w:shd w:val="clear" w:color="auto" w:fill="auto"/>
        <w:spacing w:line="240" w:lineRule="auto"/>
      </w:pPr>
      <w:r>
        <w:t>Обща информация</w:t>
      </w:r>
    </w:p>
    <w:p w:rsidR="00712663" w:rsidRDefault="00641B17">
      <w:pPr>
        <w:pStyle w:val="BodyText"/>
        <w:shd w:val="clear" w:color="auto" w:fill="auto"/>
        <w:spacing w:after="180"/>
      </w:pPr>
      <w:r>
        <w:t xml:space="preserve">Кандидат, който иска лиценз като инвестиционен посредник в съответствие с дял </w:t>
      </w:r>
      <w:r>
        <w:rPr>
          <w:lang w:val="en-US" w:eastAsia="en-US" w:bidi="en-US"/>
        </w:rPr>
        <w:t xml:space="preserve">II </w:t>
      </w:r>
      <w:r>
        <w:t>от Директива 2014/65/ЕС, подава до компетентния орган заявление, което включва следната обща информация:</w:t>
      </w:r>
    </w:p>
    <w:p w:rsidR="00712663" w:rsidRDefault="00641B17">
      <w:pPr>
        <w:pStyle w:val="BodyText"/>
        <w:numPr>
          <w:ilvl w:val="0"/>
          <w:numId w:val="2"/>
        </w:numPr>
        <w:shd w:val="clear" w:color="auto" w:fill="auto"/>
        <w:tabs>
          <w:tab w:val="left" w:pos="270"/>
        </w:tabs>
        <w:spacing w:after="180"/>
        <w:ind w:left="240" w:hanging="240"/>
      </w:pPr>
      <w:r>
        <w:t>неговото име (включително неговото ю</w:t>
      </w:r>
      <w:r>
        <w:t xml:space="preserve">ридическо наименование и всяка друга използвана от него фирма); правна структура (включително информация относно това дали ще бъде юридическо лице или, когато това е разрешено от националното законодателство, физическо лице), адрес на главно управление, а </w:t>
      </w:r>
      <w:r>
        <w:t>за съществуващите дружества — седалище, координати за връзка, неговия национален идентификационен номер, ако има такъв, както и:</w:t>
      </w:r>
    </w:p>
    <w:p w:rsidR="00712663" w:rsidRDefault="00641B17">
      <w:pPr>
        <w:pStyle w:val="BodyText"/>
        <w:numPr>
          <w:ilvl w:val="0"/>
          <w:numId w:val="3"/>
        </w:numPr>
        <w:shd w:val="clear" w:color="auto" w:fill="auto"/>
        <w:tabs>
          <w:tab w:val="left" w:pos="526"/>
        </w:tabs>
        <w:spacing w:after="180"/>
        <w:ind w:left="240"/>
        <w:jc w:val="left"/>
      </w:pPr>
      <w:r>
        <w:t>за местни клонове: информация относно мястото, където ще извършва дейността на клоновете;</w:t>
      </w:r>
    </w:p>
    <w:p w:rsidR="00712663" w:rsidRDefault="00641B17">
      <w:pPr>
        <w:pStyle w:val="BodyText"/>
        <w:numPr>
          <w:ilvl w:val="0"/>
          <w:numId w:val="3"/>
        </w:numPr>
        <w:shd w:val="clear" w:color="auto" w:fill="auto"/>
        <w:tabs>
          <w:tab w:val="left" w:pos="526"/>
        </w:tabs>
        <w:spacing w:after="240"/>
        <w:ind w:left="240"/>
        <w:jc w:val="left"/>
      </w:pPr>
      <w:r>
        <w:t xml:space="preserve">за местни обвързани агенти: подробни </w:t>
      </w:r>
      <w:r>
        <w:t>данни относно неговите намерения да използва обвързани агенти;</w:t>
      </w:r>
    </w:p>
    <w:p w:rsidR="00712663" w:rsidRDefault="00641B17">
      <w:pPr>
        <w:pStyle w:val="Bodytext20"/>
        <w:shd w:val="clear" w:color="auto" w:fill="auto"/>
        <w:spacing w:after="0"/>
      </w:pPr>
      <w:r>
        <w:t>(</w:t>
      </w:r>
      <w:r>
        <w:rPr>
          <w:vertAlign w:val="superscript"/>
        </w:rPr>
        <w:t>1</w:t>
      </w:r>
      <w:r>
        <w:t xml:space="preserve">) Директива 95/46/ЕО на Европейския парламент и на Съвета от 24 октомври 1995 г. за защита на физическите лица при обработването на лични данни и за свободното движение на тези данни (ОВ </w:t>
      </w:r>
      <w:r>
        <w:rPr>
          <w:lang w:val="en-US" w:eastAsia="en-US" w:bidi="en-US"/>
        </w:rPr>
        <w:t xml:space="preserve">L </w:t>
      </w:r>
      <w:r>
        <w:t>28</w:t>
      </w:r>
      <w:r>
        <w:t>1, 23.11.1995 г., стр. 31).</w:t>
      </w:r>
    </w:p>
    <w:p w:rsidR="00641B17" w:rsidRDefault="00641B17" w:rsidP="00641B17">
      <w:pPr>
        <w:pStyle w:val="Bodytext20"/>
        <w:shd w:val="clear" w:color="auto" w:fill="auto"/>
        <w:spacing w:after="300"/>
      </w:pPr>
      <w:r>
        <w:t>(</w:t>
      </w:r>
      <w:r>
        <w:rPr>
          <w:vertAlign w:val="superscript"/>
        </w:rPr>
        <w:t>2</w:t>
      </w:r>
      <w:r>
        <w:t>) Регламент (ЕС) № 1095/2010 на Европейския парламент и на Съвета от 24 ноември 2010 г. за създаване на Европейски надзорен орган (Европейски орган за ценни книжа и пазари), за изменение на Решение № 716/2009/ЕО и за отмяна на Решение 2009/77/ЕО на Комисия</w:t>
      </w:r>
      <w:r>
        <w:t xml:space="preserve">та (ОВ </w:t>
      </w:r>
      <w:r>
        <w:rPr>
          <w:lang w:val="en-US" w:eastAsia="en-US" w:bidi="en-US"/>
        </w:rPr>
        <w:t xml:space="preserve">L </w:t>
      </w:r>
      <w:r>
        <w:t>331, 15.12.2010 г., стр. 84).</w:t>
      </w:r>
    </w:p>
    <w:p w:rsidR="00712663" w:rsidRDefault="00641B17" w:rsidP="00641B17">
      <w:pPr>
        <w:pStyle w:val="Bodytext20"/>
        <w:shd w:val="clear" w:color="auto" w:fill="auto"/>
        <w:spacing w:after="300"/>
      </w:pPr>
      <w:r>
        <w:t>б)</w:t>
      </w:r>
      <w:r>
        <w:tab/>
        <w:t>списък на инвестиционните услуги и дейности, спомагателните услуги и финансовите инструменти, които ще бъдат предоставяни, и дали ще бъдат държани (дори и временно) финансови инструменти и средства на клиенти.</w:t>
      </w:r>
    </w:p>
    <w:p w:rsidR="00712663" w:rsidRDefault="00641B17">
      <w:pPr>
        <w:pStyle w:val="BodyText"/>
        <w:shd w:val="clear" w:color="auto" w:fill="auto"/>
        <w:tabs>
          <w:tab w:val="left" w:pos="272"/>
        </w:tabs>
        <w:spacing w:after="540"/>
        <w:ind w:left="240" w:hanging="240"/>
      </w:pPr>
      <w:r>
        <w:t>в</w:t>
      </w:r>
      <w:r>
        <w:t>)</w:t>
      </w:r>
      <w:r>
        <w:tab/>
        <w:t>к</w:t>
      </w:r>
      <w:r>
        <w:t>опия от дружествените документи и доказателство за вписването в националния регистър на дружествата, когато е приложимо.</w:t>
      </w:r>
    </w:p>
    <w:p w:rsidR="00712663" w:rsidRDefault="00641B17">
      <w:pPr>
        <w:pStyle w:val="Bodytext30"/>
        <w:shd w:val="clear" w:color="auto" w:fill="auto"/>
        <w:spacing w:after="320" w:line="240" w:lineRule="auto"/>
      </w:pPr>
      <w:r>
        <w:rPr>
          <w:b w:val="0"/>
          <w:bCs w:val="0"/>
        </w:rPr>
        <w:t>Член 2</w:t>
      </w:r>
    </w:p>
    <w:p w:rsidR="00712663" w:rsidRDefault="00641B17">
      <w:pPr>
        <w:pStyle w:val="Bodytext30"/>
        <w:shd w:val="clear" w:color="auto" w:fill="auto"/>
        <w:spacing w:after="320" w:line="240" w:lineRule="auto"/>
      </w:pPr>
      <w:r>
        <w:t>Информация относно капитала</w:t>
      </w:r>
    </w:p>
    <w:p w:rsidR="00712663" w:rsidRDefault="00641B17">
      <w:pPr>
        <w:pStyle w:val="BodyText"/>
        <w:shd w:val="clear" w:color="auto" w:fill="auto"/>
        <w:spacing w:after="200" w:line="257" w:lineRule="auto"/>
      </w:pPr>
      <w:r>
        <w:t xml:space="preserve">Кандидат, който иска лиценз като инвестиционен посредник в съответствие с дял </w:t>
      </w:r>
      <w:r>
        <w:rPr>
          <w:lang w:val="en-US" w:eastAsia="en-US" w:bidi="en-US"/>
        </w:rPr>
        <w:t xml:space="preserve">II </w:t>
      </w:r>
      <w:r>
        <w:t>от Директива 2014/6</w:t>
      </w:r>
      <w:r>
        <w:t>5/ЕС, представя пред компетентния орган информация и доказателства относно източниците на наличния си капитал, ако разполага с такива: Информацията включва:</w:t>
      </w:r>
    </w:p>
    <w:p w:rsidR="00712663" w:rsidRDefault="00641B17">
      <w:pPr>
        <w:pStyle w:val="BodyText"/>
        <w:numPr>
          <w:ilvl w:val="0"/>
          <w:numId w:val="4"/>
        </w:numPr>
        <w:shd w:val="clear" w:color="auto" w:fill="auto"/>
        <w:tabs>
          <w:tab w:val="left" w:pos="277"/>
        </w:tabs>
        <w:spacing w:after="200"/>
        <w:ind w:left="240" w:hanging="240"/>
      </w:pPr>
      <w:r>
        <w:t>подробни данни относно използването на частни финансови ресурси, включително произход и наличност н</w:t>
      </w:r>
      <w:r>
        <w:t>а тези средства;</w:t>
      </w:r>
    </w:p>
    <w:p w:rsidR="00712663" w:rsidRDefault="00641B17">
      <w:pPr>
        <w:pStyle w:val="BodyText"/>
        <w:shd w:val="clear" w:color="auto" w:fill="auto"/>
        <w:tabs>
          <w:tab w:val="left" w:pos="282"/>
        </w:tabs>
        <w:spacing w:after="200"/>
        <w:ind w:left="240" w:hanging="240"/>
      </w:pPr>
      <w:r>
        <w:t>б)</w:t>
      </w:r>
      <w:r>
        <w:tab/>
        <w:t>подробни данни относно достъпа до източниците на капитал и финансовите пазари, включително подробности за финансовите инструменти, които са или ще бъдат емитирани;</w:t>
      </w:r>
    </w:p>
    <w:p w:rsidR="00712663" w:rsidRDefault="00641B17">
      <w:pPr>
        <w:pStyle w:val="BodyText"/>
        <w:shd w:val="clear" w:color="auto" w:fill="auto"/>
        <w:tabs>
          <w:tab w:val="left" w:pos="272"/>
        </w:tabs>
        <w:spacing w:after="200" w:line="257" w:lineRule="auto"/>
        <w:ind w:left="240" w:hanging="240"/>
      </w:pPr>
      <w:r>
        <w:t>в)</w:t>
      </w:r>
      <w:r>
        <w:tab/>
        <w:t>всички съответни споразумения и договори относно набрания капитал;</w:t>
      </w:r>
    </w:p>
    <w:p w:rsidR="00712663" w:rsidRDefault="00641B17">
      <w:pPr>
        <w:pStyle w:val="BodyText"/>
        <w:shd w:val="clear" w:color="auto" w:fill="auto"/>
        <w:tabs>
          <w:tab w:val="left" w:pos="258"/>
        </w:tabs>
        <w:spacing w:after="200" w:line="257" w:lineRule="auto"/>
        <w:ind w:left="240" w:hanging="240"/>
      </w:pPr>
      <w:r>
        <w:t>г)</w:t>
      </w:r>
      <w:r>
        <w:tab/>
        <w:t>информация относно използването или очакваното използване на заемни средства, включително имената на съответните заемодатели и подробни данни за механизмите, които са или се очаква да бъдат предоставени, включително падежи, условия, ангажименти и гаранции</w:t>
      </w:r>
      <w:r>
        <w:t xml:space="preserve">, както и информация относно произхода на заемните средства (или на средствата, които се очаква да бъдат заети), когато заемодателят не е </w:t>
      </w:r>
      <w:proofErr w:type="spellStart"/>
      <w:r>
        <w:t>поднадзорна</w:t>
      </w:r>
      <w:proofErr w:type="spellEnd"/>
      <w:r>
        <w:t xml:space="preserve"> финансова институция;</w:t>
      </w:r>
    </w:p>
    <w:p w:rsidR="00712663" w:rsidRDefault="00641B17">
      <w:pPr>
        <w:pStyle w:val="BodyText"/>
        <w:shd w:val="clear" w:color="auto" w:fill="auto"/>
        <w:tabs>
          <w:tab w:val="left" w:pos="282"/>
        </w:tabs>
        <w:spacing w:after="0" w:line="257" w:lineRule="auto"/>
        <w:ind w:left="240" w:hanging="240"/>
      </w:pPr>
      <w:r>
        <w:t>д)</w:t>
      </w:r>
      <w:r>
        <w:tab/>
        <w:t>подробни данни относно средствата, използвани за прехвърляне на финансовите ресур</w:t>
      </w:r>
      <w:r>
        <w:t>си към посредника, включително</w:t>
      </w:r>
    </w:p>
    <w:p w:rsidR="00712663" w:rsidRDefault="00641B17">
      <w:pPr>
        <w:pStyle w:val="BodyText"/>
        <w:shd w:val="clear" w:color="auto" w:fill="auto"/>
        <w:spacing w:after="200" w:line="257" w:lineRule="auto"/>
        <w:ind w:left="240"/>
      </w:pPr>
      <w:r>
        <w:t>мрежата, използвана за прехвърляне на тези ресурси.</w:t>
      </w:r>
    </w:p>
    <w:p w:rsidR="00712663" w:rsidRDefault="00641B17">
      <w:pPr>
        <w:pStyle w:val="BodyText"/>
        <w:shd w:val="clear" w:color="auto" w:fill="auto"/>
        <w:spacing w:after="540"/>
        <w:ind w:left="240"/>
      </w:pPr>
      <w:r>
        <w:t>За целите на буква б), данните относно видовете набран капитал се отнасят, когато е приложимо, за видовете капитал по Регламент (ЕС) № 575/2013, и по-конкретно дали капиталъ</w:t>
      </w:r>
      <w:r>
        <w:t>т включва елементи на базовия собствен капитал от първи ред, елементи на допълнителния капитал от първи ред или елементи на допълнителния капитал от втори ред.</w:t>
      </w:r>
    </w:p>
    <w:p w:rsidR="00712663" w:rsidRDefault="00641B17">
      <w:pPr>
        <w:pStyle w:val="Bodytext30"/>
        <w:shd w:val="clear" w:color="auto" w:fill="auto"/>
        <w:spacing w:after="320" w:line="240" w:lineRule="auto"/>
      </w:pPr>
      <w:r>
        <w:rPr>
          <w:b w:val="0"/>
          <w:bCs w:val="0"/>
        </w:rPr>
        <w:t>Член 3</w:t>
      </w:r>
    </w:p>
    <w:p w:rsidR="00712663" w:rsidRDefault="00641B17">
      <w:pPr>
        <w:pStyle w:val="Bodytext30"/>
        <w:shd w:val="clear" w:color="auto" w:fill="auto"/>
        <w:spacing w:after="320" w:line="240" w:lineRule="auto"/>
      </w:pPr>
      <w:r>
        <w:t>Информация относно акционерите</w:t>
      </w:r>
    </w:p>
    <w:p w:rsidR="00712663" w:rsidRDefault="00641B17">
      <w:pPr>
        <w:pStyle w:val="BodyText"/>
        <w:shd w:val="clear" w:color="auto" w:fill="auto"/>
        <w:spacing w:after="200"/>
      </w:pPr>
      <w:r>
        <w:t>Кандидат, който иска лиценз като инвестиционен посредник в</w:t>
      </w:r>
      <w:r>
        <w:t xml:space="preserve"> съответствие с дял </w:t>
      </w:r>
      <w:r>
        <w:rPr>
          <w:lang w:val="en-US" w:eastAsia="en-US" w:bidi="en-US"/>
        </w:rPr>
        <w:t xml:space="preserve">II </w:t>
      </w:r>
      <w:r>
        <w:t>от Директива 2014/65/ЕС, представя пред компетентния орган следната информация относно своите акционери:</w:t>
      </w:r>
    </w:p>
    <w:p w:rsidR="00712663" w:rsidRDefault="00641B17">
      <w:pPr>
        <w:pStyle w:val="BodyText"/>
        <w:shd w:val="clear" w:color="auto" w:fill="auto"/>
        <w:tabs>
          <w:tab w:val="left" w:pos="272"/>
        </w:tabs>
        <w:spacing w:after="200"/>
        <w:ind w:left="240" w:hanging="240"/>
      </w:pPr>
      <w:r>
        <w:t>а)</w:t>
      </w:r>
      <w:r>
        <w:tab/>
        <w:t>списък на лицата с пряко или непряко квалифицирано дялово участие в инвестиционния посредник и размера на тези дялови участия</w:t>
      </w:r>
      <w:r>
        <w:t xml:space="preserve">, а за непреките дялови участия — името на лицето, чрез което се притежава делът, както и името на крайния </w:t>
      </w:r>
      <w:r>
        <w:lastRenderedPageBreak/>
        <w:t>притежател;</w:t>
      </w:r>
    </w:p>
    <w:p w:rsidR="00712663" w:rsidRDefault="00641B17">
      <w:pPr>
        <w:pStyle w:val="BodyText"/>
        <w:shd w:val="clear" w:color="auto" w:fill="auto"/>
        <w:tabs>
          <w:tab w:val="left" w:pos="282"/>
        </w:tabs>
        <w:spacing w:after="200"/>
        <w:ind w:left="240" w:hanging="240"/>
      </w:pPr>
      <w:r>
        <w:t>б)</w:t>
      </w:r>
      <w:r>
        <w:tab/>
        <w:t>за лицата с квалифицирано (пряко или непряко) дялово участие в инвестиционния посредник, документацията, изисквана от кандидат-приобре</w:t>
      </w:r>
      <w:r>
        <w:t xml:space="preserve">тателите във връзка с придобиването и увеличаването на квалифицираните дялови участия в инвестиционни посредници в съответствие с членове 3, 4 и 5 от Делегиран регламент (ЕС) 2017/1946 на Комисията от 11 юли 2017 г. за допълнение на директиви 2004/39/ЕО и </w:t>
      </w:r>
      <w:r>
        <w:t>2014/65/ЕС на Европейския парламент и на Съвета по отношение на регулаторните технически стандарти за изготвяне на изчерпателен списък на сведенията, които да бъдат включвани от кандидат-приобретателите в нотификацията за предложено придобиване на квалифи</w:t>
      </w:r>
      <w:r>
        <w:softHyphen/>
      </w:r>
      <w:r>
        <w:t>цирано дялово участие в инвестиционен посредник (</w:t>
      </w:r>
      <w:r>
        <w:rPr>
          <w:vertAlign w:val="superscript"/>
        </w:rPr>
        <w:t>1</w:t>
      </w:r>
      <w:r>
        <w:t>);</w:t>
      </w:r>
    </w:p>
    <w:p w:rsidR="00712663" w:rsidRDefault="00641B17">
      <w:pPr>
        <w:pStyle w:val="BodyText"/>
        <w:shd w:val="clear" w:color="auto" w:fill="auto"/>
        <w:tabs>
          <w:tab w:val="left" w:pos="282"/>
        </w:tabs>
        <w:spacing w:after="200"/>
        <w:ind w:left="240" w:hanging="240"/>
      </w:pPr>
      <w:r>
        <w:t>в)</w:t>
      </w:r>
      <w:r>
        <w:tab/>
        <w:t xml:space="preserve">за корпоративните акционери, които са членове на група, </w:t>
      </w:r>
      <w:proofErr w:type="spellStart"/>
      <w:r>
        <w:t>органиграма</w:t>
      </w:r>
      <w:proofErr w:type="spellEnd"/>
      <w:r>
        <w:t xml:space="preserve"> на групата, в която са посочени основните дейности на всеки посредник от групата, посочване на всички регулирани субекти от групата </w:t>
      </w:r>
      <w:r>
        <w:t>и имената на съответните надзорни органи, както и връзката между финансовите и нефинансовите субекти от групата;</w:t>
      </w:r>
    </w:p>
    <w:p w:rsidR="00641B17" w:rsidRDefault="00641B17" w:rsidP="00641B17">
      <w:pPr>
        <w:pStyle w:val="BodyText"/>
        <w:shd w:val="clear" w:color="auto" w:fill="auto"/>
        <w:tabs>
          <w:tab w:val="left" w:pos="282"/>
        </w:tabs>
        <w:spacing w:after="200"/>
        <w:ind w:left="240" w:hanging="240"/>
      </w:pPr>
      <w:r>
        <w:t>г)</w:t>
      </w:r>
      <w:r>
        <w:tab/>
        <w:t xml:space="preserve">за целите на буква б), когато притежателят на квалифицирано дялово участие не е физическо лице, документацията </w:t>
      </w:r>
      <w:r>
        <w:t>включва информация за всички членове на ръководния орган и генералния директор или всички други лица, изпълняващи равностойни функции.</w:t>
      </w:r>
    </w:p>
    <w:p w:rsidR="00712663" w:rsidRDefault="00641B17" w:rsidP="00641B17">
      <w:pPr>
        <w:pStyle w:val="BodyText"/>
        <w:shd w:val="clear" w:color="auto" w:fill="auto"/>
        <w:tabs>
          <w:tab w:val="left" w:pos="282"/>
        </w:tabs>
        <w:spacing w:after="200"/>
        <w:ind w:left="240" w:hanging="240"/>
        <w:jc w:val="center"/>
      </w:pPr>
      <w:r>
        <w:t>Член 4</w:t>
      </w:r>
    </w:p>
    <w:p w:rsidR="00712663" w:rsidRDefault="00641B17">
      <w:pPr>
        <w:pStyle w:val="Bodytext30"/>
        <w:shd w:val="clear" w:color="auto" w:fill="auto"/>
        <w:spacing w:after="360" w:line="240" w:lineRule="auto"/>
      </w:pPr>
      <w:r>
        <w:t>И</w:t>
      </w:r>
      <w:r>
        <w:t>нформация относно ръководния орган и лицата, които управляват стопанската дейност</w:t>
      </w:r>
    </w:p>
    <w:p w:rsidR="00712663" w:rsidRDefault="00641B17">
      <w:pPr>
        <w:pStyle w:val="BodyText"/>
        <w:shd w:val="clear" w:color="auto" w:fill="auto"/>
        <w:spacing w:after="240"/>
      </w:pPr>
      <w:r>
        <w:t>Кандидат, който иска лиценз кат</w:t>
      </w:r>
      <w:r>
        <w:t xml:space="preserve">о инвестиционен посредник в съответствие с дял </w:t>
      </w:r>
      <w:r>
        <w:rPr>
          <w:lang w:val="en-US" w:eastAsia="en-US" w:bidi="en-US"/>
        </w:rPr>
        <w:t xml:space="preserve">II </w:t>
      </w:r>
      <w:r>
        <w:t>от Директива 2014/65/ЕС, представя пред компетентния орган следната информация:</w:t>
      </w:r>
    </w:p>
    <w:p w:rsidR="00712663" w:rsidRDefault="00641B17">
      <w:pPr>
        <w:pStyle w:val="BodyText"/>
        <w:numPr>
          <w:ilvl w:val="0"/>
          <w:numId w:val="5"/>
        </w:numPr>
        <w:shd w:val="clear" w:color="auto" w:fill="auto"/>
        <w:tabs>
          <w:tab w:val="left" w:pos="275"/>
        </w:tabs>
        <w:spacing w:after="240"/>
        <w:ind w:left="240" w:hanging="240"/>
        <w:jc w:val="left"/>
      </w:pPr>
      <w:r>
        <w:t>по отношение на членовете на ръководния орган и лицата, действително ръководещи стопанската дейност, и съответните им правомощ</w:t>
      </w:r>
      <w:r>
        <w:t>ия и упълномощени лица: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 w:line="266" w:lineRule="auto"/>
        <w:ind w:left="620" w:hanging="380"/>
      </w:pPr>
      <w:r>
        <w:t>лични данни, включително име, дата и място на раждане, личен национален идентификационен номер, ако има такъв, адрес и координати за връзка;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240"/>
      </w:pPr>
      <w:r>
        <w:t>длъжността, на която лицето е/ще бъде назначено;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 xml:space="preserve">автобиография, в която се посочва </w:t>
      </w:r>
      <w:r>
        <w:t>съответното образование и професионално обучение, професионален опит, включително имената на всички организации, за които лицето е работило и естеството и продължителността на упражняваните функции, по-специално за всички дейности, попадащи в обхвата на же</w:t>
      </w:r>
      <w:r>
        <w:t>ланата длъжност; за позиции, заемани през последните 10 години, при описанието на съответните дейности се посочват подробно всички делегирани правомощия и правомощия във вътрешния процес на вземане на решения на лицето и областта на операциите под негов ко</w:t>
      </w:r>
      <w:r>
        <w:t>нтрол.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>документация, отнасяща се до репутацията и опита на лицето, по-специално списък с референтни лица, включително информация за контакт и препоръки;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 xml:space="preserve">данни от регистри за съдимост и информация за наказателни разследвания или производства, съответните </w:t>
      </w:r>
      <w:r>
        <w:t>граждански и административни дела и дисциплинарни наказания, открити срещу лицето (включително лишаване от правото на упражняване на дейност като ръководител на предприятие, неплатежоспособност, несъстоятелност и подобни процедури), по-специално под формат</w:t>
      </w:r>
      <w:r>
        <w:t>а на официален сертификат (ако и доколкото такъв е на разположение от съответната държава членка или трета държава), или чрез друг равностоен документ; информацията за текущи разследвания може да бъде предоставена чрез клетвена декларация;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>информация относ</w:t>
      </w:r>
      <w:r>
        <w:t xml:space="preserve">но отказ на регистрация, разрешение, членство или лиценз за извършване на търговска дейност, стопанска дейност или упражняване на професия; отнемане, отмяна или прекратяване на такава регистрация, разрешение, членство или лиценз; принудително отстраняване </w:t>
      </w:r>
      <w:r>
        <w:t>от регулаторен или държавен орган или от професионална организация или сдружение;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>информация относно освобождаване от длъжност или ползваща се с доверие позиция, доверително или сходно отношение;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64"/>
        </w:tabs>
        <w:spacing w:after="240"/>
        <w:ind w:left="620" w:hanging="380"/>
      </w:pPr>
      <w:r>
        <w:t xml:space="preserve">информация дали вече е била извършена оценка на репутацията </w:t>
      </w:r>
      <w:r>
        <w:t>и опита като приобретател или като лице, което управлява стопанска дейност (включително дата на оценката, наименование на органа и удостоверителни документи за резултата от оценката);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 xml:space="preserve">описание на финансовите и нефинансовите интереси или връзки на лицето и </w:t>
      </w:r>
      <w:r>
        <w:t>неговите близки роднини с членове на ръководния орган и титуляри на ключови функции в същата институция, институцията майка и дъщерни дружества и акционери;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lastRenderedPageBreak/>
        <w:t>подробни данни за резултатите от оценките на пригодността на членовете на ръководния орган, проведе</w:t>
      </w:r>
      <w:r>
        <w:t>ни от кандидата;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>информация относно минималния срок, през който лицето ще изпълнява функциите си в рамките на посредника (в години и месеци);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19"/>
        </w:tabs>
        <w:spacing w:after="240"/>
        <w:ind w:left="620" w:hanging="380"/>
      </w:pPr>
      <w:r>
        <w:t>информация относно човешките и финансовите ресурси, предвидени за въвеждането в работата и обучението на членовете</w:t>
      </w:r>
      <w:r>
        <w:t xml:space="preserve"> (в години и месеци);</w:t>
      </w:r>
    </w:p>
    <w:p w:rsidR="00712663" w:rsidRDefault="00641B17">
      <w:pPr>
        <w:pStyle w:val="BodyText"/>
        <w:numPr>
          <w:ilvl w:val="0"/>
          <w:numId w:val="6"/>
        </w:numPr>
        <w:shd w:val="clear" w:color="auto" w:fill="auto"/>
        <w:tabs>
          <w:tab w:val="left" w:pos="664"/>
        </w:tabs>
        <w:spacing w:after="240"/>
        <w:ind w:left="240"/>
      </w:pPr>
      <w:r>
        <w:t>списък с понастоящем заеманите от лицето изпълнителни и неизпълнителни ръководни функции.</w:t>
      </w:r>
    </w:p>
    <w:p w:rsidR="00712663" w:rsidRDefault="00641B17">
      <w:pPr>
        <w:pStyle w:val="BodyText"/>
        <w:shd w:val="clear" w:color="auto" w:fill="auto"/>
        <w:spacing w:after="240"/>
        <w:ind w:left="240"/>
      </w:pPr>
      <w:r>
        <w:t xml:space="preserve">За целите на буква а), подточка </w:t>
      </w:r>
      <w:r>
        <w:rPr>
          <w:lang w:val="en-US" w:eastAsia="en-US" w:bidi="en-US"/>
        </w:rPr>
        <w:t xml:space="preserve">ix), </w:t>
      </w:r>
      <w:r>
        <w:t xml:space="preserve">понятието „финансови интереси“ включва кредитни операции, гаранции и залози, докато „нефинансови интереси“ </w:t>
      </w:r>
      <w:r>
        <w:t>може да включва семейни или близки взаимоотношения;</w:t>
      </w:r>
    </w:p>
    <w:p w:rsidR="00712663" w:rsidRDefault="00641B17">
      <w:pPr>
        <w:pStyle w:val="BodyText"/>
        <w:shd w:val="clear" w:color="auto" w:fill="auto"/>
        <w:tabs>
          <w:tab w:val="left" w:pos="280"/>
        </w:tabs>
        <w:spacing w:after="240" w:line="240" w:lineRule="auto"/>
      </w:pPr>
      <w:r>
        <w:t>б)</w:t>
      </w:r>
      <w:r>
        <w:tab/>
        <w:t>служителите на вътрешните структури за управление и контрол.</w:t>
      </w:r>
    </w:p>
    <w:p w:rsidR="00712663" w:rsidRDefault="00641B17">
      <w:pPr>
        <w:pStyle w:val="Bodytext30"/>
        <w:shd w:val="clear" w:color="auto" w:fill="auto"/>
        <w:spacing w:after="160"/>
      </w:pPr>
      <w:r>
        <w:rPr>
          <w:b w:val="0"/>
          <w:bCs w:val="0"/>
        </w:rPr>
        <w:t>Член 5</w:t>
      </w:r>
    </w:p>
    <w:p w:rsidR="00712663" w:rsidRDefault="00641B17">
      <w:pPr>
        <w:pStyle w:val="Bodytext30"/>
        <w:shd w:val="clear" w:color="auto" w:fill="auto"/>
        <w:spacing w:after="160"/>
      </w:pPr>
      <w:r>
        <w:t>Финансова информация</w:t>
      </w:r>
    </w:p>
    <w:p w:rsidR="00712663" w:rsidRDefault="00641B17">
      <w:pPr>
        <w:pStyle w:val="BodyText"/>
        <w:shd w:val="clear" w:color="auto" w:fill="auto"/>
        <w:spacing w:after="100"/>
      </w:pPr>
      <w:r>
        <w:t xml:space="preserve">Кандидат, който иска лиценз като инвестиционен посредник в съответствие с дял </w:t>
      </w:r>
      <w:r>
        <w:rPr>
          <w:lang w:val="en-US" w:eastAsia="en-US" w:bidi="en-US"/>
        </w:rPr>
        <w:t xml:space="preserve">II </w:t>
      </w:r>
      <w:r>
        <w:t xml:space="preserve">от Директива 2014/65/ЕС, </w:t>
      </w:r>
      <w:r>
        <w:t>представя пред компетентния орган следната информация относно финансовото си състояние:</w:t>
      </w:r>
    </w:p>
    <w:p w:rsidR="00712663" w:rsidRDefault="00641B17">
      <w:pPr>
        <w:pStyle w:val="BodyText"/>
        <w:numPr>
          <w:ilvl w:val="0"/>
          <w:numId w:val="7"/>
        </w:numPr>
        <w:shd w:val="clear" w:color="auto" w:fill="auto"/>
        <w:tabs>
          <w:tab w:val="left" w:pos="308"/>
        </w:tabs>
        <w:spacing w:after="100" w:line="266" w:lineRule="auto"/>
        <w:ind w:left="240" w:hanging="240"/>
      </w:pPr>
      <w:r>
        <w:t xml:space="preserve">прогнозна информация на индивидуално и, когато е приложимо, на консолидирано и </w:t>
      </w:r>
      <w:proofErr w:type="spellStart"/>
      <w:r>
        <w:t>подконсолидирано</w:t>
      </w:r>
      <w:proofErr w:type="spellEnd"/>
      <w:r>
        <w:t xml:space="preserve"> групово равнище, включително:</w:t>
      </w:r>
    </w:p>
    <w:p w:rsidR="00712663" w:rsidRDefault="00641B17">
      <w:pPr>
        <w:pStyle w:val="BodyText"/>
        <w:numPr>
          <w:ilvl w:val="0"/>
          <w:numId w:val="8"/>
        </w:numPr>
        <w:shd w:val="clear" w:color="auto" w:fill="auto"/>
        <w:tabs>
          <w:tab w:val="left" w:pos="548"/>
        </w:tabs>
        <w:spacing w:after="100"/>
        <w:ind w:left="540" w:hanging="280"/>
      </w:pPr>
      <w:r>
        <w:t>прогнозни счетоводни планове за първите тр</w:t>
      </w:r>
      <w:r>
        <w:t>и финансови години, в т.ч.:</w:t>
      </w:r>
    </w:p>
    <w:p w:rsidR="00712663" w:rsidRDefault="00641B17">
      <w:pPr>
        <w:pStyle w:val="BodyText"/>
        <w:shd w:val="clear" w:color="auto" w:fill="auto"/>
        <w:spacing w:after="100"/>
        <w:ind w:left="540" w:firstLine="20"/>
        <w:jc w:val="left"/>
      </w:pPr>
      <w:r>
        <w:t>— прогнозен баланс;</w:t>
      </w:r>
    </w:p>
    <w:p w:rsidR="00712663" w:rsidRDefault="00641B17">
      <w:pPr>
        <w:pStyle w:val="BodyText"/>
        <w:shd w:val="clear" w:color="auto" w:fill="auto"/>
        <w:spacing w:after="100"/>
        <w:ind w:left="540" w:firstLine="20"/>
        <w:jc w:val="left"/>
      </w:pPr>
      <w:r>
        <w:t>— прогнозен отчет за приходите и разходите или отчет за доходите;</w:t>
      </w:r>
    </w:p>
    <w:p w:rsidR="00712663" w:rsidRDefault="00641B17">
      <w:pPr>
        <w:pStyle w:val="BodyText"/>
        <w:numPr>
          <w:ilvl w:val="0"/>
          <w:numId w:val="8"/>
        </w:numPr>
        <w:shd w:val="clear" w:color="auto" w:fill="auto"/>
        <w:tabs>
          <w:tab w:val="left" w:pos="582"/>
        </w:tabs>
        <w:spacing w:after="100"/>
        <w:ind w:left="540" w:hanging="280"/>
      </w:pPr>
      <w:r>
        <w:t>използваните при планирането допускания за горепосочените прогнози, както и обяснение на данните, в т.ч. очакван брой и вид клиенти, очакван о</w:t>
      </w:r>
      <w:r>
        <w:t>бем на сделките/поръчките, очаквани управлявани активи;</w:t>
      </w:r>
    </w:p>
    <w:p w:rsidR="00712663" w:rsidRDefault="00641B17">
      <w:pPr>
        <w:pStyle w:val="BodyText"/>
        <w:numPr>
          <w:ilvl w:val="0"/>
          <w:numId w:val="8"/>
        </w:numPr>
        <w:shd w:val="clear" w:color="auto" w:fill="auto"/>
        <w:tabs>
          <w:tab w:val="left" w:pos="630"/>
        </w:tabs>
        <w:spacing w:after="100"/>
        <w:ind w:left="540" w:hanging="280"/>
      </w:pPr>
      <w:r>
        <w:t>когато е приложимо, прогнозни изчисления на капиталовите изисквания и изискванията за ликвидност по отношение на посредника съгласно Регламент (ЕС) № 575/2013 на Европейския парламент и на Съвета (</w:t>
      </w:r>
      <w:r>
        <w:rPr>
          <w:vertAlign w:val="superscript"/>
        </w:rPr>
        <w:t>1</w:t>
      </w:r>
      <w:r>
        <w:t xml:space="preserve">) </w:t>
      </w:r>
      <w:r>
        <w:t>и прогнозен коефициент на платежоспособност за първата година;</w:t>
      </w:r>
    </w:p>
    <w:p w:rsidR="00712663" w:rsidRDefault="00641B17">
      <w:pPr>
        <w:pStyle w:val="BodyText"/>
        <w:shd w:val="clear" w:color="auto" w:fill="auto"/>
        <w:tabs>
          <w:tab w:val="left" w:pos="312"/>
        </w:tabs>
        <w:spacing w:after="100"/>
        <w:ind w:left="240" w:hanging="240"/>
      </w:pPr>
      <w:r>
        <w:t>б)</w:t>
      </w:r>
      <w:r>
        <w:tab/>
        <w:t xml:space="preserve">за дружества, които вече осъществяват дейност, задължителните финансови отчети на индивидуално и, когато е приложимо, на консолидирано и </w:t>
      </w:r>
      <w:proofErr w:type="spellStart"/>
      <w:r>
        <w:t>подконсолидирано</w:t>
      </w:r>
      <w:proofErr w:type="spellEnd"/>
      <w:r>
        <w:t xml:space="preserve"> групово равнище за последните три фи</w:t>
      </w:r>
      <w:r>
        <w:t>нансови периода, одобрени, когато финансовите отчети подлежат на одит, от външен одитор, включително:</w:t>
      </w:r>
    </w:p>
    <w:p w:rsidR="00712663" w:rsidRDefault="00641B17">
      <w:pPr>
        <w:pStyle w:val="BodyText"/>
        <w:numPr>
          <w:ilvl w:val="0"/>
          <w:numId w:val="9"/>
        </w:numPr>
        <w:shd w:val="clear" w:color="auto" w:fill="auto"/>
        <w:tabs>
          <w:tab w:val="left" w:pos="548"/>
        </w:tabs>
        <w:spacing w:after="100"/>
        <w:ind w:left="540" w:hanging="280"/>
      </w:pPr>
      <w:r>
        <w:t>счетоводен баланс;</w:t>
      </w:r>
    </w:p>
    <w:p w:rsidR="00712663" w:rsidRDefault="00641B17">
      <w:pPr>
        <w:pStyle w:val="BodyText"/>
        <w:numPr>
          <w:ilvl w:val="0"/>
          <w:numId w:val="9"/>
        </w:numPr>
        <w:shd w:val="clear" w:color="auto" w:fill="auto"/>
        <w:tabs>
          <w:tab w:val="left" w:pos="582"/>
        </w:tabs>
        <w:spacing w:after="100"/>
        <w:ind w:left="540" w:hanging="280"/>
      </w:pPr>
      <w:r>
        <w:t>отчет за приходите и разходите или отчет за доходите;</w:t>
      </w:r>
    </w:p>
    <w:p w:rsidR="00712663" w:rsidRDefault="00641B17">
      <w:pPr>
        <w:pStyle w:val="BodyText"/>
        <w:numPr>
          <w:ilvl w:val="0"/>
          <w:numId w:val="9"/>
        </w:numPr>
        <w:shd w:val="clear" w:color="auto" w:fill="auto"/>
        <w:tabs>
          <w:tab w:val="left" w:pos="630"/>
        </w:tabs>
        <w:spacing w:after="100"/>
        <w:ind w:left="540" w:hanging="280"/>
      </w:pPr>
      <w:r>
        <w:t xml:space="preserve">годишни доклади и финансови приложения, както и всички други документи, </w:t>
      </w:r>
      <w:r>
        <w:t>регистрирани в съответния регистър или орган в рамките на определена територия от значение за финансовите отчети на предприятието и, когато е приложимо, доклад на одитора от последните три години или от началото на дейността;</w:t>
      </w:r>
    </w:p>
    <w:p w:rsidR="00712663" w:rsidRDefault="00641B17">
      <w:pPr>
        <w:pStyle w:val="BodyText"/>
        <w:shd w:val="clear" w:color="auto" w:fill="auto"/>
        <w:tabs>
          <w:tab w:val="left" w:pos="303"/>
        </w:tabs>
        <w:spacing w:after="320"/>
        <w:ind w:left="240" w:hanging="240"/>
      </w:pPr>
      <w:r>
        <w:t>в)</w:t>
      </w:r>
      <w:r>
        <w:tab/>
        <w:t xml:space="preserve">анализ на обхвата на </w:t>
      </w:r>
      <w:r>
        <w:t>консолидирания надзор по Регламент (ЕС) № 575/2013, включително информация кои субекти от групата ще бъдат включени в обхвата на изискванията за надзора на консолидирана основа след издаването на лиценз и на какво равнище в рамките на групата тези изискван</w:t>
      </w:r>
      <w:r>
        <w:t xml:space="preserve">ия ще се прилагат на обща или </w:t>
      </w:r>
      <w:proofErr w:type="spellStart"/>
      <w:r>
        <w:t>подконсолидирана</w:t>
      </w:r>
      <w:proofErr w:type="spellEnd"/>
      <w:r>
        <w:t xml:space="preserve"> основа.</w:t>
      </w:r>
    </w:p>
    <w:p w:rsidR="00712663" w:rsidRDefault="00641B17">
      <w:pPr>
        <w:pStyle w:val="Bodytext30"/>
        <w:shd w:val="clear" w:color="auto" w:fill="auto"/>
        <w:spacing w:after="160"/>
      </w:pPr>
      <w:r>
        <w:rPr>
          <w:b w:val="0"/>
          <w:bCs w:val="0"/>
        </w:rPr>
        <w:t>Член 6</w:t>
      </w:r>
    </w:p>
    <w:p w:rsidR="00712663" w:rsidRDefault="00641B17">
      <w:pPr>
        <w:pStyle w:val="Bodytext30"/>
        <w:shd w:val="clear" w:color="auto" w:fill="auto"/>
        <w:spacing w:after="160"/>
      </w:pPr>
      <w:r>
        <w:t>Информация относно организацията на посредника</w:t>
      </w:r>
    </w:p>
    <w:p w:rsidR="00712663" w:rsidRDefault="00641B17">
      <w:pPr>
        <w:pStyle w:val="BodyText"/>
        <w:shd w:val="clear" w:color="auto" w:fill="auto"/>
        <w:spacing w:after="100"/>
      </w:pPr>
      <w:r>
        <w:t xml:space="preserve">Кандидат, който иска лиценз като инвестиционен посредник в съответствие с дял </w:t>
      </w:r>
      <w:r>
        <w:rPr>
          <w:lang w:val="en-US" w:eastAsia="en-US" w:bidi="en-US"/>
        </w:rPr>
        <w:t xml:space="preserve">II </w:t>
      </w:r>
      <w:r>
        <w:t>от Директива 2014/65/ЕС, представя пред компетентния орган следнат</w:t>
      </w:r>
      <w:r>
        <w:t>а информация относно своята организация:</w:t>
      </w:r>
    </w:p>
    <w:p w:rsidR="00712663" w:rsidRDefault="00641B17">
      <w:pPr>
        <w:pStyle w:val="BodyText"/>
        <w:numPr>
          <w:ilvl w:val="0"/>
          <w:numId w:val="10"/>
        </w:numPr>
        <w:shd w:val="clear" w:color="auto" w:fill="auto"/>
        <w:tabs>
          <w:tab w:val="left" w:pos="308"/>
        </w:tabs>
        <w:spacing w:after="100"/>
        <w:ind w:left="240" w:hanging="240"/>
      </w:pPr>
      <w:r>
        <w:t xml:space="preserve">програма за началните операции през следващите три години, включително информация относно планираните регламентирани и нерегламентирани дейности, подробна информация относно географското разпределение и дейностите, </w:t>
      </w:r>
      <w:r>
        <w:t>които ще бъдат извършени от инвестиционния посредник. Съответната информация в програмата за дейността включва:</w:t>
      </w:r>
    </w:p>
    <w:p w:rsidR="00712663" w:rsidRDefault="00641B17">
      <w:pPr>
        <w:pStyle w:val="BodyText"/>
        <w:numPr>
          <w:ilvl w:val="0"/>
          <w:numId w:val="11"/>
        </w:numPr>
        <w:shd w:val="clear" w:color="auto" w:fill="auto"/>
        <w:tabs>
          <w:tab w:val="left" w:pos="548"/>
        </w:tabs>
        <w:spacing w:after="100"/>
        <w:ind w:left="540" w:hanging="280"/>
      </w:pPr>
      <w:r>
        <w:t>местопребиваване на потенциалните клиенти и целевите инвеститори;</w:t>
      </w:r>
    </w:p>
    <w:p w:rsidR="00712663" w:rsidRDefault="00641B17">
      <w:pPr>
        <w:pStyle w:val="BodyText"/>
        <w:numPr>
          <w:ilvl w:val="0"/>
          <w:numId w:val="11"/>
        </w:numPr>
        <w:shd w:val="clear" w:color="auto" w:fill="auto"/>
        <w:tabs>
          <w:tab w:val="left" w:pos="582"/>
        </w:tabs>
        <w:spacing w:after="100"/>
        <w:ind w:left="540" w:hanging="280"/>
      </w:pPr>
      <w:r>
        <w:t xml:space="preserve">маркетингови и рекламни дейности и мерки, включително езиците, на които са </w:t>
      </w:r>
      <w:r>
        <w:t>съставени проспектът и документите за предлагането; посочване на държавите членки, в които рекламите биват най-осезателно и често представяни; тип на рекламните документи (за да се определи основното географско позициониране на практи</w:t>
      </w:r>
      <w:r>
        <w:softHyphen/>
        <w:t xml:space="preserve">ческите маркетингови </w:t>
      </w:r>
      <w:r>
        <w:t>стратегии);</w:t>
      </w:r>
    </w:p>
    <w:p w:rsidR="00712663" w:rsidRDefault="00641B17">
      <w:pPr>
        <w:pStyle w:val="BodyText"/>
        <w:numPr>
          <w:ilvl w:val="0"/>
          <w:numId w:val="11"/>
        </w:numPr>
        <w:shd w:val="clear" w:color="auto" w:fill="auto"/>
        <w:tabs>
          <w:tab w:val="left" w:pos="630"/>
        </w:tabs>
        <w:spacing w:after="100"/>
        <w:ind w:left="540" w:hanging="280"/>
      </w:pPr>
      <w:r>
        <w:t>имената на търговците, извършващи директни продажби, финансовите консултанти и дистрибуторите, както и географското разположение на дейността им;</w:t>
      </w:r>
    </w:p>
    <w:p w:rsidR="00712663" w:rsidRDefault="00641B17">
      <w:pPr>
        <w:pStyle w:val="BodyText"/>
        <w:shd w:val="clear" w:color="auto" w:fill="auto"/>
        <w:tabs>
          <w:tab w:val="left" w:pos="312"/>
        </w:tabs>
        <w:spacing w:after="100"/>
        <w:ind w:left="240" w:hanging="240"/>
      </w:pPr>
      <w:r>
        <w:lastRenderedPageBreak/>
        <w:t>б)</w:t>
      </w:r>
      <w:r>
        <w:tab/>
        <w:t>подробни данни за одиторите на посредника, когато такава е налична към момента на подаване на з</w:t>
      </w:r>
      <w:r>
        <w:t>аявлението за издаване на лиценз;</w:t>
      </w:r>
    </w:p>
    <w:p w:rsidR="00712663" w:rsidRDefault="00641B17">
      <w:pPr>
        <w:pStyle w:val="BodyText"/>
        <w:shd w:val="clear" w:color="auto" w:fill="auto"/>
        <w:tabs>
          <w:tab w:val="left" w:pos="303"/>
        </w:tabs>
        <w:spacing w:after="100"/>
        <w:ind w:left="240" w:hanging="240"/>
      </w:pPr>
      <w:r>
        <w:t>в)</w:t>
      </w:r>
      <w:r>
        <w:tab/>
        <w:t>организационната структура и системите за вътрешен контрол на дружеството, в т.ч.:</w:t>
      </w:r>
    </w:p>
    <w:p w:rsidR="00712663" w:rsidRDefault="00641B17">
      <w:pPr>
        <w:pStyle w:val="BodyText"/>
        <w:shd w:val="clear" w:color="auto" w:fill="auto"/>
        <w:spacing w:after="100"/>
        <w:ind w:left="540" w:hanging="280"/>
      </w:pPr>
      <w:r>
        <w:rPr>
          <w:lang w:val="en-US" w:eastAsia="en-US" w:bidi="en-US"/>
        </w:rPr>
        <w:t xml:space="preserve">i) </w:t>
      </w:r>
      <w:r>
        <w:t>личните данни на ръководителите на вътрешните функции (по управление и надзор), включително подробна автобиография, в която се посочв</w:t>
      </w:r>
      <w:r>
        <w:t>а съответното образование, професионалното обучение и професионалният опит;</w:t>
      </w:r>
    </w:p>
    <w:p w:rsidR="00712663" w:rsidRDefault="00641B17">
      <w:pPr>
        <w:pStyle w:val="BodyText"/>
        <w:shd w:val="clear" w:color="auto" w:fill="auto"/>
        <w:spacing w:after="240" w:line="254" w:lineRule="auto"/>
        <w:ind w:left="540" w:hanging="280"/>
      </w:pPr>
      <w:r>
        <w:rPr>
          <w:lang w:val="en-US" w:eastAsia="en-US" w:bidi="en-US"/>
        </w:rPr>
        <w:t xml:space="preserve">ii) </w:t>
      </w:r>
      <w:r>
        <w:t>описание на ресурсите (по-специално човешките и техническите ресурси), разпределени по различните планирани дейности;</w:t>
      </w:r>
    </w:p>
    <w:p w:rsidR="00712663" w:rsidRDefault="00641B17">
      <w:pPr>
        <w:pStyle w:val="Bodytext20"/>
        <w:numPr>
          <w:ilvl w:val="0"/>
          <w:numId w:val="12"/>
        </w:numPr>
        <w:shd w:val="clear" w:color="auto" w:fill="auto"/>
        <w:tabs>
          <w:tab w:val="left" w:pos="317"/>
        </w:tabs>
      </w:pPr>
      <w:r>
        <w:t xml:space="preserve">Регламент (ЕС) № 575/2013 на Европейския парламент и на Съвета от 26 юни 2013 г. относно </w:t>
      </w:r>
      <w:proofErr w:type="spellStart"/>
      <w:r>
        <w:t>пруденциалните</w:t>
      </w:r>
      <w:proofErr w:type="spellEnd"/>
      <w:r>
        <w:t xml:space="preserve"> изисквания за кредитните институции и инвестиционните посредници и за изменение на Регламент (ЕС) № 648/2012 (ОВ </w:t>
      </w:r>
      <w:r>
        <w:rPr>
          <w:lang w:val="en-US" w:eastAsia="en-US" w:bidi="en-US"/>
        </w:rPr>
        <w:t xml:space="preserve">L </w:t>
      </w:r>
      <w:r>
        <w:t>176, 27.6.2013 г., стр. 1).</w:t>
      </w:r>
    </w:p>
    <w:p w:rsidR="00712663" w:rsidRDefault="00641B17">
      <w:pPr>
        <w:pStyle w:val="BodyText"/>
        <w:numPr>
          <w:ilvl w:val="0"/>
          <w:numId w:val="3"/>
        </w:numPr>
        <w:shd w:val="clear" w:color="auto" w:fill="auto"/>
        <w:tabs>
          <w:tab w:val="left" w:pos="631"/>
        </w:tabs>
        <w:spacing w:after="120"/>
        <w:ind w:left="520" w:hanging="240"/>
      </w:pPr>
      <w:r>
        <w:t>във връзк</w:t>
      </w:r>
      <w:r>
        <w:t>а с държаните финансови инструменти и средства на клиенти, информация относно механизмите за гарантиране на клиентските активи (по-специално, наименованието на попечителя и съответните договори, когато финансовите инструменти и средства са държат при попеч</w:t>
      </w:r>
      <w:r>
        <w:t>ител);</w:t>
      </w:r>
    </w:p>
    <w:p w:rsidR="00712663" w:rsidRDefault="00641B17">
      <w:pPr>
        <w:pStyle w:val="BodyText"/>
        <w:numPr>
          <w:ilvl w:val="0"/>
          <w:numId w:val="3"/>
        </w:numPr>
        <w:shd w:val="clear" w:color="auto" w:fill="auto"/>
        <w:tabs>
          <w:tab w:val="left" w:pos="621"/>
        </w:tabs>
        <w:spacing w:after="120"/>
        <w:ind w:left="520" w:hanging="240"/>
      </w:pPr>
      <w:r>
        <w:t xml:space="preserve">обяснение по какъв начин посредникът ще изпълни своите </w:t>
      </w:r>
      <w:proofErr w:type="spellStart"/>
      <w:r>
        <w:t>пруденциални</w:t>
      </w:r>
      <w:proofErr w:type="spellEnd"/>
      <w:r>
        <w:t xml:space="preserve"> задължения и изисквания по отношение на осъществяването на дейността;</w:t>
      </w:r>
    </w:p>
    <w:p w:rsidR="00712663" w:rsidRDefault="00641B17">
      <w:pPr>
        <w:pStyle w:val="BodyText"/>
        <w:shd w:val="clear" w:color="auto" w:fill="auto"/>
        <w:tabs>
          <w:tab w:val="left" w:pos="269"/>
        </w:tabs>
        <w:spacing w:after="120" w:line="257" w:lineRule="auto"/>
        <w:ind w:left="240" w:hanging="240"/>
      </w:pPr>
      <w:r>
        <w:t>г)</w:t>
      </w:r>
      <w:r>
        <w:tab/>
        <w:t>информация относно статуса на заявлението, подадено от инвестиционния посредник за членство в схема за обезщ</w:t>
      </w:r>
      <w:r>
        <w:t>етение на инвеститорите в държавата членка по произход, или доказателство за членство в такава схема, ако има такова;</w:t>
      </w:r>
    </w:p>
    <w:p w:rsidR="00712663" w:rsidRDefault="00641B17">
      <w:pPr>
        <w:pStyle w:val="BodyText"/>
        <w:shd w:val="clear" w:color="auto" w:fill="auto"/>
        <w:tabs>
          <w:tab w:val="left" w:pos="293"/>
        </w:tabs>
        <w:spacing w:after="120"/>
        <w:ind w:left="240" w:hanging="240"/>
      </w:pPr>
      <w:r>
        <w:t>д)</w:t>
      </w:r>
      <w:r>
        <w:tab/>
        <w:t>списък на функциите, услугите или дейностите, възложени на външни изпълнители (или тези, за които има намерение да бъдат възложени на в</w:t>
      </w:r>
      <w:r>
        <w:t>ъншни изпълнители), и списък на сключените или планираните договори с външни доставчици, както и на ресурсите (по-специално, човешки и технически, както и системата за вътрешен контрол), които са под контрола на възложените на външни изпълнители функции, у</w:t>
      </w:r>
      <w:r>
        <w:t>слуги или дейности;</w:t>
      </w:r>
    </w:p>
    <w:p w:rsidR="00712663" w:rsidRDefault="00641B17">
      <w:pPr>
        <w:pStyle w:val="BodyText"/>
        <w:shd w:val="clear" w:color="auto" w:fill="auto"/>
        <w:tabs>
          <w:tab w:val="left" w:pos="279"/>
        </w:tabs>
        <w:spacing w:after="120"/>
        <w:ind w:left="240" w:hanging="240"/>
      </w:pPr>
      <w:r>
        <w:t>е)</w:t>
      </w:r>
      <w:r>
        <w:tab/>
        <w:t>мерки за идентифициране и предотвратяване или управление на конфликтите на интереси, които възникват в хода на предоставянето на инвестиционни и допълнителни услуги, и описание на правилата за управление на продуктите;</w:t>
      </w:r>
    </w:p>
    <w:p w:rsidR="00712663" w:rsidRDefault="00641B17">
      <w:pPr>
        <w:pStyle w:val="BodyText"/>
        <w:shd w:val="clear" w:color="auto" w:fill="auto"/>
        <w:tabs>
          <w:tab w:val="left" w:pos="336"/>
        </w:tabs>
        <w:spacing w:after="120" w:line="257" w:lineRule="auto"/>
        <w:ind w:left="240" w:hanging="240"/>
      </w:pPr>
      <w:r>
        <w:t>ж)</w:t>
      </w:r>
      <w:r>
        <w:tab/>
        <w:t>описание на</w:t>
      </w:r>
      <w:r>
        <w:t xml:space="preserve"> системите за мониторинг на дейностите на посредника, включително резервни системи, ако има такива, и системи и механизми за контрол на риска, когато посредникът желае да извършва алгоритмична търговия и/или да осигурява пряк електронен достъп;</w:t>
      </w:r>
    </w:p>
    <w:p w:rsidR="00712663" w:rsidRDefault="00641B17">
      <w:pPr>
        <w:pStyle w:val="BodyText"/>
        <w:shd w:val="clear" w:color="auto" w:fill="auto"/>
        <w:tabs>
          <w:tab w:val="left" w:pos="274"/>
        </w:tabs>
        <w:spacing w:after="120"/>
        <w:ind w:left="240" w:hanging="240"/>
      </w:pPr>
      <w:r>
        <w:t>з)</w:t>
      </w:r>
      <w:r>
        <w:tab/>
      </w:r>
      <w:r>
        <w:t>информация относно системите за спазване на изискванията, вътрешен контрол и управление на риска (система за мониторинг, вътрешни одити и функции по консултиране и оказване на помощ);</w:t>
      </w:r>
    </w:p>
    <w:p w:rsidR="00712663" w:rsidRDefault="00641B17">
      <w:pPr>
        <w:pStyle w:val="BodyText"/>
        <w:shd w:val="clear" w:color="auto" w:fill="auto"/>
        <w:tabs>
          <w:tab w:val="left" w:pos="303"/>
        </w:tabs>
        <w:spacing w:after="120"/>
        <w:ind w:left="240" w:hanging="240"/>
      </w:pPr>
      <w:r>
        <w:t>и)</w:t>
      </w:r>
      <w:r>
        <w:tab/>
        <w:t xml:space="preserve">подробни данни относно системите за оценка и управление на рисковете </w:t>
      </w:r>
      <w:r>
        <w:t>от изпиране на пари и финансиране на тероризма;</w:t>
      </w:r>
    </w:p>
    <w:p w:rsidR="00712663" w:rsidRDefault="00641B17">
      <w:pPr>
        <w:pStyle w:val="BodyText"/>
        <w:shd w:val="clear" w:color="auto" w:fill="auto"/>
        <w:spacing w:after="120"/>
      </w:pPr>
      <w:r>
        <w:t>й) планове за непрекъснатост на дейността, включително системи и човешки ресурси (ключов персонал);</w:t>
      </w:r>
    </w:p>
    <w:p w:rsidR="00712663" w:rsidRDefault="00641B17">
      <w:pPr>
        <w:pStyle w:val="BodyText"/>
        <w:shd w:val="clear" w:color="auto" w:fill="auto"/>
        <w:tabs>
          <w:tab w:val="left" w:pos="293"/>
        </w:tabs>
        <w:spacing w:after="120"/>
      </w:pPr>
      <w:r>
        <w:t>к)</w:t>
      </w:r>
      <w:r>
        <w:tab/>
        <w:t>управление на регистрите, съхраняване на регистрираните данни и политики за съхраняване на регистрите;</w:t>
      </w:r>
    </w:p>
    <w:p w:rsidR="00712663" w:rsidRDefault="00641B17">
      <w:pPr>
        <w:pStyle w:val="BodyText"/>
        <w:shd w:val="clear" w:color="auto" w:fill="auto"/>
        <w:tabs>
          <w:tab w:val="left" w:pos="293"/>
        </w:tabs>
        <w:spacing w:after="320"/>
      </w:pPr>
      <w:r>
        <w:t>л)</w:t>
      </w:r>
      <w:r>
        <w:tab/>
        <w:t>описание на процедурния правилник на посредника.</w:t>
      </w:r>
    </w:p>
    <w:p w:rsidR="00712663" w:rsidRDefault="00641B17">
      <w:pPr>
        <w:pStyle w:val="Bodytext30"/>
        <w:shd w:val="clear" w:color="auto" w:fill="auto"/>
        <w:spacing w:after="180"/>
      </w:pPr>
      <w:r>
        <w:rPr>
          <w:b w:val="0"/>
          <w:bCs w:val="0"/>
        </w:rPr>
        <w:t>Член 7</w:t>
      </w:r>
    </w:p>
    <w:p w:rsidR="00712663" w:rsidRDefault="00641B17">
      <w:pPr>
        <w:pStyle w:val="Bodytext30"/>
        <w:shd w:val="clear" w:color="auto" w:fill="auto"/>
        <w:spacing w:after="180"/>
      </w:pPr>
      <w:r>
        <w:t>Общи изисквания</w:t>
      </w:r>
    </w:p>
    <w:p w:rsidR="00712663" w:rsidRDefault="00641B17">
      <w:pPr>
        <w:pStyle w:val="BodyText"/>
        <w:shd w:val="clear" w:color="auto" w:fill="auto"/>
        <w:spacing w:after="180"/>
      </w:pPr>
      <w:r>
        <w:t>1. Информацията, която се предоставя на компетентния орган на държавата членка по произход, както е посочено в членове 1 и 6, се отнася както за главното управление на посредника, так</w:t>
      </w:r>
      <w:r>
        <w:t>а и за неговите клонове и обвързани агенти.</w:t>
      </w:r>
    </w:p>
    <w:p w:rsidR="00712663" w:rsidRDefault="00641B17">
      <w:pPr>
        <w:pStyle w:val="BodyText"/>
        <w:shd w:val="clear" w:color="auto" w:fill="auto"/>
        <w:spacing w:after="400"/>
      </w:pPr>
      <w:r>
        <w:t>2. Информацията, която се предоставя на компетентния орган на държавата членка по произход, както е посочено в членове 2 и 5, се отнася за главното управление на посредника.</w:t>
      </w:r>
    </w:p>
    <w:p w:rsidR="00712663" w:rsidRDefault="00641B17">
      <w:pPr>
        <w:pStyle w:val="Bodytext30"/>
        <w:shd w:val="clear" w:color="auto" w:fill="auto"/>
        <w:spacing w:after="180"/>
      </w:pPr>
      <w:r>
        <w:rPr>
          <w:b w:val="0"/>
          <w:bCs w:val="0"/>
        </w:rPr>
        <w:t>Член 8</w:t>
      </w:r>
    </w:p>
    <w:p w:rsidR="00712663" w:rsidRDefault="00641B17">
      <w:pPr>
        <w:pStyle w:val="Bodytext30"/>
        <w:shd w:val="clear" w:color="auto" w:fill="auto"/>
        <w:spacing w:after="180"/>
      </w:pPr>
      <w:r>
        <w:t>Изисквания, приложими по отноше</w:t>
      </w:r>
      <w:r>
        <w:t>ние на управлението на инвестиционни посредници, които са</w:t>
      </w:r>
      <w:r>
        <w:br/>
        <w:t>физически лица, или на инвестиционни посредници, които са юридически лица, управлявани от</w:t>
      </w:r>
      <w:r>
        <w:br/>
        <w:t>едно-единствено физическо лице</w:t>
      </w:r>
    </w:p>
    <w:p w:rsidR="00712663" w:rsidRDefault="00641B17">
      <w:pPr>
        <w:pStyle w:val="BodyText"/>
        <w:shd w:val="clear" w:color="auto" w:fill="auto"/>
        <w:spacing w:after="0" w:line="372" w:lineRule="auto"/>
      </w:pPr>
      <w:r>
        <w:t xml:space="preserve">1. Компетентният орган издава лиценз за инвестиционен посредник на физическо </w:t>
      </w:r>
      <w:r>
        <w:t>лице или на юридическо лице, управлявано от едно-единствено физическо лице, само когато:</w:t>
      </w:r>
    </w:p>
    <w:p w:rsidR="00712663" w:rsidRDefault="00641B17">
      <w:pPr>
        <w:pStyle w:val="BodyText"/>
        <w:numPr>
          <w:ilvl w:val="0"/>
          <w:numId w:val="13"/>
        </w:numPr>
        <w:shd w:val="clear" w:color="auto" w:fill="auto"/>
        <w:tabs>
          <w:tab w:val="left" w:pos="288"/>
        </w:tabs>
        <w:spacing w:after="0" w:line="372" w:lineRule="auto"/>
      </w:pPr>
      <w:r>
        <w:t>компетентните органи могат да установят бърза и лесна връзка с физическото лице;</w:t>
      </w:r>
    </w:p>
    <w:p w:rsidR="00712663" w:rsidRDefault="00641B17">
      <w:pPr>
        <w:pStyle w:val="BodyText"/>
        <w:shd w:val="clear" w:color="auto" w:fill="auto"/>
        <w:tabs>
          <w:tab w:val="left" w:pos="293"/>
        </w:tabs>
        <w:spacing w:after="0" w:line="372" w:lineRule="auto"/>
      </w:pPr>
      <w:r>
        <w:t>б)</w:t>
      </w:r>
      <w:r>
        <w:tab/>
        <w:t>физическото лице разполага с достатъчно време, което да посвети на тази дейност;</w:t>
      </w:r>
    </w:p>
    <w:p w:rsidR="00712663" w:rsidRDefault="00641B17">
      <w:pPr>
        <w:pStyle w:val="BodyText"/>
        <w:shd w:val="clear" w:color="auto" w:fill="auto"/>
        <w:tabs>
          <w:tab w:val="left" w:pos="284"/>
        </w:tabs>
        <w:spacing w:after="120"/>
        <w:ind w:left="240" w:hanging="240"/>
      </w:pPr>
      <w:r>
        <w:t>в)</w:t>
      </w:r>
      <w:r>
        <w:tab/>
        <w:t>управителните органи и правилниците на инвестиционния посредник разрешават упълномощаването на лице, което да замести незабавно директора и да изпълнява всички негови задължения, ако последният не е в състояние да ги изпълнява;</w:t>
      </w:r>
    </w:p>
    <w:p w:rsidR="00712663" w:rsidRDefault="00641B17">
      <w:pPr>
        <w:pStyle w:val="BodyText"/>
        <w:shd w:val="clear" w:color="auto" w:fill="auto"/>
        <w:tabs>
          <w:tab w:val="left" w:pos="269"/>
        </w:tabs>
        <w:spacing w:after="120"/>
        <w:ind w:left="240" w:hanging="240"/>
      </w:pPr>
      <w:r>
        <w:t>г)</w:t>
      </w:r>
      <w:r>
        <w:tab/>
        <w:t xml:space="preserve">упълномощеното съгласно </w:t>
      </w:r>
      <w:r>
        <w:t>предходната точка лице е с достатъчно добра репутация и притежава достатъчно опит да замести директора по време на отсъствието или до назначаването на нов директор, за да се осигури стабилното и разумно управление на инвестиционния посредник. Лицето, упълн</w:t>
      </w:r>
      <w:r>
        <w:t xml:space="preserve">омощено по отношение на инвестиционни посредници, които са физически </w:t>
      </w:r>
      <w:r>
        <w:lastRenderedPageBreak/>
        <w:t>лица, е също така на разположение за оказване на съдействие на синдици, както и на съответните органи при ликвидация на посредника. Лицето е на разположение за изпълнението на тази функци</w:t>
      </w:r>
      <w:r>
        <w:t>я.</w:t>
      </w:r>
    </w:p>
    <w:p w:rsidR="00712663" w:rsidRDefault="00641B17">
      <w:pPr>
        <w:pStyle w:val="BodyText"/>
        <w:shd w:val="clear" w:color="auto" w:fill="auto"/>
        <w:spacing w:after="120"/>
      </w:pPr>
      <w:r>
        <w:t>2. Като част от процедурата по лицензиране подалият заявлението инвестиционен посредник, който е физическо лице или юридическо лице, управлявано от едно-единствено физическо лице, представя пред компетентния орган информацията, посочена в член 4, парагр</w:t>
      </w:r>
      <w:r>
        <w:t>аф 1, букви а), в), г), д) и е), по отношение на лицето, упълномощено съгласно параграф 1, буква г) от настоящия член.</w:t>
      </w:r>
    </w:p>
    <w:p w:rsidR="00712663" w:rsidRDefault="00641B17">
      <w:pPr>
        <w:pStyle w:val="Bodytext30"/>
        <w:shd w:val="clear" w:color="auto" w:fill="auto"/>
        <w:spacing w:line="240" w:lineRule="auto"/>
      </w:pPr>
      <w:r>
        <w:rPr>
          <w:b w:val="0"/>
          <w:bCs w:val="0"/>
        </w:rPr>
        <w:t>Член 9</w:t>
      </w:r>
    </w:p>
    <w:p w:rsidR="00712663" w:rsidRDefault="00641B17">
      <w:pPr>
        <w:pStyle w:val="Bodytext30"/>
        <w:shd w:val="clear" w:color="auto" w:fill="auto"/>
      </w:pPr>
      <w:r>
        <w:t>Изисквания, приложими по отношение на акционерите и съдружниците с квалифицирано дялово</w:t>
      </w:r>
      <w:r>
        <w:br/>
        <w:t>участие</w:t>
      </w:r>
    </w:p>
    <w:p w:rsidR="00712663" w:rsidRDefault="00641B17">
      <w:pPr>
        <w:pStyle w:val="BodyText"/>
        <w:shd w:val="clear" w:color="auto" w:fill="auto"/>
        <w:spacing w:after="180"/>
      </w:pPr>
      <w:r>
        <w:t>Компетентният орган проверява дали</w:t>
      </w:r>
      <w:r>
        <w:t xml:space="preserve"> искането за издаване на лиценз като инвестиционен посредник в съответствие с дял </w:t>
      </w:r>
      <w:r>
        <w:rPr>
          <w:lang w:val="en-US" w:eastAsia="en-US" w:bidi="en-US"/>
        </w:rPr>
        <w:t xml:space="preserve">II </w:t>
      </w:r>
      <w:r>
        <w:t>от Директива 2014/65/ЕС осигурява достатъчно гаранции за стабилното и разумно управление на субекта, като оценява пригодността на предложените акционери и съдружниците с к</w:t>
      </w:r>
      <w:r>
        <w:t>валифицирано дялово участие, отчитайки възможното влияние върху инвестиционния посредник на всеки от предложените акционери и съдружниците с квалифи</w:t>
      </w:r>
      <w:r>
        <w:softHyphen/>
        <w:t>цирано дялово участие, като има предвид всеки един от следните критерии:</w:t>
      </w:r>
    </w:p>
    <w:p w:rsidR="00712663" w:rsidRDefault="00641B17">
      <w:pPr>
        <w:pStyle w:val="BodyText"/>
        <w:numPr>
          <w:ilvl w:val="0"/>
          <w:numId w:val="14"/>
        </w:numPr>
        <w:shd w:val="clear" w:color="auto" w:fill="auto"/>
        <w:tabs>
          <w:tab w:val="left" w:pos="286"/>
        </w:tabs>
        <w:spacing w:after="180"/>
        <w:ind w:left="240" w:hanging="240"/>
      </w:pPr>
      <w:r>
        <w:t>репутацията и опита на всяко лице,</w:t>
      </w:r>
      <w:r>
        <w:t xml:space="preserve"> което ще ръководи дейността на инвестиционния посредник;</w:t>
      </w:r>
    </w:p>
    <w:p w:rsidR="00712663" w:rsidRDefault="00641B17">
      <w:pPr>
        <w:pStyle w:val="BodyText"/>
        <w:shd w:val="clear" w:color="auto" w:fill="auto"/>
        <w:tabs>
          <w:tab w:val="left" w:pos="290"/>
        </w:tabs>
        <w:spacing w:after="180"/>
        <w:ind w:left="240" w:hanging="240"/>
      </w:pPr>
      <w:r>
        <w:t>б)</w:t>
      </w:r>
      <w:r>
        <w:tab/>
        <w:t>репутацията на предложените акционери и съдружниците с квалифицирано дялово участие;</w:t>
      </w:r>
    </w:p>
    <w:p w:rsidR="00712663" w:rsidRDefault="00641B17">
      <w:pPr>
        <w:pStyle w:val="BodyText"/>
        <w:shd w:val="clear" w:color="auto" w:fill="auto"/>
        <w:tabs>
          <w:tab w:val="left" w:pos="281"/>
        </w:tabs>
        <w:spacing w:after="180"/>
        <w:ind w:left="240" w:hanging="240"/>
      </w:pPr>
      <w:r>
        <w:t>в)</w:t>
      </w:r>
      <w:r>
        <w:tab/>
        <w:t xml:space="preserve">финансовата стабилност на предложените акционери и съдружниците с квалифицирано дялово участие, </w:t>
      </w:r>
      <w:r>
        <w:t>по-специално във връзка с вида дейност, която инвестиционният посредник извършва или се предвижда да извършва;</w:t>
      </w:r>
    </w:p>
    <w:p w:rsidR="00712663" w:rsidRDefault="00641B17">
      <w:pPr>
        <w:pStyle w:val="BodyText"/>
        <w:shd w:val="clear" w:color="auto" w:fill="auto"/>
        <w:tabs>
          <w:tab w:val="left" w:pos="266"/>
        </w:tabs>
        <w:spacing w:after="180"/>
        <w:ind w:left="240" w:hanging="240"/>
      </w:pPr>
      <w:r>
        <w:t>г)</w:t>
      </w:r>
      <w:r>
        <w:tab/>
        <w:t xml:space="preserve">дали инвестиционният посредник ще бъде в състояние да спазва и да продължава да спазва </w:t>
      </w:r>
      <w:proofErr w:type="spellStart"/>
      <w:r>
        <w:t>пруденциалните</w:t>
      </w:r>
      <w:proofErr w:type="spellEnd"/>
      <w:r>
        <w:t xml:space="preserve"> изисквания, установени в член 15 от Дире</w:t>
      </w:r>
      <w:r>
        <w:t>ктива 2014/65/ЕС и, когато е приложимо — в директиви 2002/87/ЕО (</w:t>
      </w:r>
      <w:r>
        <w:rPr>
          <w:vertAlign w:val="superscript"/>
        </w:rPr>
        <w:t>1</w:t>
      </w:r>
      <w:r>
        <w:t>) и 2013/36/ЕС (</w:t>
      </w:r>
      <w:r>
        <w:rPr>
          <w:vertAlign w:val="superscript"/>
        </w:rPr>
        <w:t>2</w:t>
      </w:r>
      <w:r>
        <w:t>) на Европейския парламент и на Съвета, и по-специално дали групата, от която той ще стане част, има структура, която позволява упражняване на ефективен надзор, ефективен об</w:t>
      </w:r>
      <w:r>
        <w:t>мен на информация между компетентните органи и разпределяне на отговорностите между компетентните органи;</w:t>
      </w:r>
    </w:p>
    <w:p w:rsidR="00712663" w:rsidRDefault="00641B17">
      <w:pPr>
        <w:pStyle w:val="BodyText"/>
        <w:shd w:val="clear" w:color="auto" w:fill="auto"/>
        <w:tabs>
          <w:tab w:val="left" w:pos="290"/>
        </w:tabs>
        <w:spacing w:after="500"/>
        <w:ind w:left="240" w:hanging="240"/>
      </w:pPr>
      <w:r>
        <w:t>д)</w:t>
      </w:r>
      <w:r>
        <w:tab/>
        <w:t>дали могат да бъдат направени обосновани предложения, че във връзка с издаването на лиценз на инвестиционния посредник се извършва, било е извършен</w:t>
      </w:r>
      <w:r>
        <w:t>о или е имало опит за извършване на изпиране на пари или финансиране на тероризъм по смисъла на член 1 от Директива 2005/60/ЕО на Европейския парламент и на Съвета (</w:t>
      </w:r>
      <w:r>
        <w:rPr>
          <w:vertAlign w:val="superscript"/>
        </w:rPr>
        <w:t>3</w:t>
      </w:r>
      <w:r>
        <w:t>) или че издаването на лиценз на инвестиционния посредник би увеличило риска от това.</w:t>
      </w:r>
      <w:bookmarkStart w:id="0" w:name="_GoBack"/>
      <w:bookmarkEnd w:id="0"/>
    </w:p>
    <w:sectPr w:rsidR="00712663">
      <w:headerReference w:type="even" r:id="rId7"/>
      <w:headerReference w:type="default" r:id="rId8"/>
      <w:footerReference w:type="even" r:id="rId9"/>
      <w:headerReference w:type="first" r:id="rId10"/>
      <w:pgSz w:w="11900" w:h="16840"/>
      <w:pgMar w:top="1470" w:right="1313" w:bottom="899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1B17">
      <w:r>
        <w:separator/>
      </w:r>
    </w:p>
  </w:endnote>
  <w:endnote w:type="continuationSeparator" w:id="0">
    <w:p w:rsidR="00000000" w:rsidRDefault="0064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63" w:rsidRDefault="007126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63" w:rsidRDefault="00712663"/>
  </w:footnote>
  <w:footnote w:type="continuationSeparator" w:id="0">
    <w:p w:rsidR="00712663" w:rsidRDefault="0071266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63" w:rsidRDefault="00641B1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619125</wp:posOffset>
              </wp:positionV>
              <wp:extent cx="6501130" cy="14351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113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2663" w:rsidRDefault="00641B17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6"/>
                              <w:tab w:val="right" w:pos="6667"/>
                              <w:tab w:val="right" w:pos="1023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sz w:val="17"/>
                              <w:szCs w:val="17"/>
                            </w:rPr>
                            <w:t>276/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41B17">
                            <w:rPr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Официален вестник на </w:t>
                          </w:r>
                          <w:r>
                            <w:rPr>
                              <w:sz w:val="17"/>
                              <w:szCs w:val="17"/>
                            </w:rPr>
                            <w:t>Европейския съюз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  <w:t>26.10.2017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41.4pt;margin-top:48.75pt;width:511.9pt;height:11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" filled="f" stroked="f">
              <v:textbox style="mso-fit-shape-to-text:t" inset="0,0,0,0">
                <w:txbxContent>
                  <w:p w:rsidR="00712663" w:rsidRDefault="00641B17">
                    <w:pPr>
                      <w:pStyle w:val="Headerorfooter20"/>
                      <w:shd w:val="clear" w:color="auto" w:fill="auto"/>
                      <w:tabs>
                        <w:tab w:val="right" w:pos="1766"/>
                        <w:tab w:val="right" w:pos="6667"/>
                        <w:tab w:val="right" w:pos="1023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sz w:val="17"/>
                        <w:szCs w:val="17"/>
                      </w:rPr>
                      <w:t>276/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41B17">
                      <w:rPr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sz w:val="17"/>
                        <w:szCs w:val="17"/>
                      </w:rPr>
                      <w:t xml:space="preserve">Официален вестник на </w:t>
                    </w:r>
                    <w:r>
                      <w:rPr>
                        <w:sz w:val="17"/>
                        <w:szCs w:val="17"/>
                      </w:rPr>
                      <w:t>Европейския съюз</w:t>
                    </w:r>
                    <w:r>
                      <w:rPr>
                        <w:sz w:val="17"/>
                        <w:szCs w:val="17"/>
                      </w:rPr>
                      <w:tab/>
                      <w:t>26.10.2017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809625</wp:posOffset>
              </wp:positionV>
              <wp:extent cx="650113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399999999999999pt;margin-top:63.75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63" w:rsidRDefault="00641B1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619125</wp:posOffset>
              </wp:positionV>
              <wp:extent cx="6498590" cy="1435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859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2663" w:rsidRDefault="00641B17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6"/>
                              <w:tab w:val="right" w:pos="6667"/>
                              <w:tab w:val="right" w:pos="1023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26.10.2017 г.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sz w:val="17"/>
                              <w:szCs w:val="17"/>
                            </w:rPr>
                            <w:t>276/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41B17">
                            <w:rPr>
                              <w:noProof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7" type="#_x0000_t202" style="position:absolute;margin-left:41.4pt;margin-top:48.75pt;width:511.7pt;height:11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" filled="f" stroked="f">
              <v:textbox style="mso-fit-shape-to-text:t" inset="0,0,0,0">
                <w:txbxContent>
                  <w:p w:rsidR="00712663" w:rsidRDefault="00641B17">
                    <w:pPr>
                      <w:pStyle w:val="Headerorfooter20"/>
                      <w:shd w:val="clear" w:color="auto" w:fill="auto"/>
                      <w:tabs>
                        <w:tab w:val="right" w:pos="1766"/>
                        <w:tab w:val="right" w:pos="6667"/>
                        <w:tab w:val="right" w:pos="1023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26.10.2017 г.</w:t>
                    </w:r>
                    <w:r>
                      <w:rPr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sz w:val="17"/>
                        <w:szCs w:val="17"/>
                      </w:rPr>
                      <w:t>Официален вестник на Европейския съюз</w:t>
                    </w:r>
                    <w:r>
                      <w:rPr>
                        <w:sz w:val="17"/>
                        <w:szCs w:val="17"/>
                      </w:rPr>
                      <w:tab/>
                    </w:r>
                    <w:r>
                      <w:rPr>
                        <w:sz w:val="17"/>
                        <w:szCs w:val="17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sz w:val="17"/>
                        <w:szCs w:val="17"/>
                      </w:rPr>
                      <w:t>276/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41B17">
                      <w:rPr>
                        <w:noProof/>
                        <w:sz w:val="17"/>
                        <w:szCs w:val="17"/>
                      </w:rPr>
                      <w:t>5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809625</wp:posOffset>
              </wp:positionV>
              <wp:extent cx="650113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399999999999999pt;margin-top:63.75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63" w:rsidRDefault="007126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ECE"/>
    <w:multiLevelType w:val="multilevel"/>
    <w:tmpl w:val="415247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A7E89"/>
    <w:multiLevelType w:val="multilevel"/>
    <w:tmpl w:val="3A86B0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A7B2E"/>
    <w:multiLevelType w:val="multilevel"/>
    <w:tmpl w:val="DDDCC9FC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43EF8"/>
    <w:multiLevelType w:val="multilevel"/>
    <w:tmpl w:val="EA928D3C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B3D2D"/>
    <w:multiLevelType w:val="multilevel"/>
    <w:tmpl w:val="53FEA942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F490B"/>
    <w:multiLevelType w:val="multilevel"/>
    <w:tmpl w:val="EFAC23A2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9D3004"/>
    <w:multiLevelType w:val="multilevel"/>
    <w:tmpl w:val="929E32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E52A65"/>
    <w:multiLevelType w:val="multilevel"/>
    <w:tmpl w:val="2764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521513"/>
    <w:multiLevelType w:val="multilevel"/>
    <w:tmpl w:val="6AF837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C7324F"/>
    <w:multiLevelType w:val="multilevel"/>
    <w:tmpl w:val="833E4E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987BA2"/>
    <w:multiLevelType w:val="multilevel"/>
    <w:tmpl w:val="84DA01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E42F60"/>
    <w:multiLevelType w:val="multilevel"/>
    <w:tmpl w:val="6A442FE6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3121E"/>
    <w:multiLevelType w:val="multilevel"/>
    <w:tmpl w:val="71B6B31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975938"/>
    <w:multiLevelType w:val="multilevel"/>
    <w:tmpl w:val="21DEB01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63"/>
    <w:rsid w:val="00456F11"/>
    <w:rsid w:val="00641B17"/>
    <w:rsid w:val="007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42E2"/>
  <w15:docId w15:val="{46D5DFCD-5C74-46E9-ACFC-4870BD2C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300" w:line="276" w:lineRule="auto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00" w:line="276" w:lineRule="auto"/>
      <w:ind w:left="240" w:hanging="240"/>
      <w:jc w:val="both"/>
    </w:pPr>
    <w:rPr>
      <w:rFonts w:ascii="Arial" w:eastAsia="Arial" w:hAnsi="Arial" w:cs="Arial"/>
      <w:sz w:val="14"/>
      <w:szCs w:val="14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20" w:line="259" w:lineRule="auto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ДЕЛЕГИРАН  РЕГЛАМЕНТ  (ЕС)  2017/  1943  НА  КОМИСИЯТА  -  от  14  юли  2016  година  -  за  допълване  на  Директива  2014/  65/  ЕС  на  Европейския  парламент  и  на  Съвета  по  отношение  на  регулаторните  технически  стандарти  за  информацията  и </vt:lpstr>
    </vt:vector>
  </TitlesOfParts>
  <Company/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ДЕЛЕГИРАН  РЕГЛАМЕНТ  (ЕС)  2017/  1943  НА  КОМИСИЯТА  -  от  14  юли  2016  година  -  за  допълване  на  Директива  2014/  65/  ЕС  на  Европейския  парламент  и  на  Съвета  по  отношение  на  регулаторните  технически  стандарти  за  информацията  и  изискванията  за  издаване  на  лиценз  на  инвестиционни  посредници</dc:title>
  <dc:subject/>
  <dc:creator>Publications Office</dc:creator>
  <cp:keywords/>
  <cp:lastModifiedBy>Hristina Dimitrova</cp:lastModifiedBy>
  <cp:revision>3</cp:revision>
  <dcterms:created xsi:type="dcterms:W3CDTF">2018-09-20T09:01:00Z</dcterms:created>
  <dcterms:modified xsi:type="dcterms:W3CDTF">2018-09-20T09:02:00Z</dcterms:modified>
</cp:coreProperties>
</file>