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45" w:rsidRPr="00952513" w:rsidRDefault="009316B0" w:rsidP="006878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513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8D3BD4" w:rsidRPr="00952513">
        <w:rPr>
          <w:rFonts w:ascii="Times New Roman" w:hAnsi="Times New Roman" w:cs="Times New Roman"/>
          <w:b/>
          <w:sz w:val="24"/>
          <w:szCs w:val="24"/>
        </w:rPr>
        <w:t>2 (част А и Б) към чл. 11, ал. 1(Доп. – ДВ, бр. 62 от 2022 г., в сила от 5.08.2022</w:t>
      </w:r>
      <w:r w:rsidR="009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BD4" w:rsidRPr="00952513">
        <w:rPr>
          <w:rFonts w:ascii="Times New Roman" w:hAnsi="Times New Roman" w:cs="Times New Roman"/>
          <w:b/>
          <w:sz w:val="24"/>
          <w:szCs w:val="24"/>
        </w:rPr>
        <w:t>г.)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513">
        <w:rPr>
          <w:rFonts w:ascii="Times New Roman" w:hAnsi="Times New Roman" w:cs="Times New Roman"/>
          <w:b/>
          <w:sz w:val="24"/>
          <w:szCs w:val="24"/>
        </w:rPr>
        <w:t>Част А – Информация от оператора към доклада за политиката за предотвратяване на</w:t>
      </w:r>
      <w:r w:rsidR="00687850" w:rsidRPr="009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b/>
          <w:sz w:val="24"/>
          <w:szCs w:val="24"/>
        </w:rPr>
        <w:t>големи аварии на предприятие/съоръжение с нисък рисков потенциал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1. Име и/или търговско наименование на оператора, единен идентификационен код (ЕИК) на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оператора.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2. Пълен адрес на оператора.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3. Телефон, факс, електронна поща.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4. Име и/или търговско наименование на предприятието/съоръжението.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5. Пълен адрес на предприятието/съоръжението.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6. Лице, отговорно за експлоатацията на предприятието/съоръжението.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6.1. Име.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6.2. Длъжност.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6.3. Телефон, факс, електронна поща.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7. Причини за подаване на ДППГА: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7.1. планирано изграждане и/или експлоатация на ПСНРП: ДА/НЕ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7.2. планирано въвеждане в експлоатация на ПСНРП или на части от него: ДА/НЕ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7.3. планирано изменение (разширение) в ПСНРП съгласно чл. 106, ал. 10 от ЗООС: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7.4. описание на причините и обстоятелствата за извършената актуализация в документите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съгласно чл. 7: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8. Номер/дата на становището по чл. 103, ал. 6 или 7 от ЗООС във връзка с актуално</w:t>
      </w:r>
      <w:r w:rsid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уведомление по чл. 103, ал. 2 или 5 от ЗООС.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9. Информация за датата и начина на заплащане на дължимата такса в размер, определен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съгласно Тарифата за таксите, които се събират в системата на Министерството на околната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среда и водите.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Приложени документи: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1. Доклад за политиката за предотвратяване на големи аварии.</w:t>
      </w:r>
    </w:p>
    <w:p w:rsidR="008D3BD4" w:rsidRPr="00952513" w:rsidRDefault="008D3BD4" w:rsidP="00687850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2. Декларация от оператора за достоверност на данните, изготвена съгл</w:t>
      </w:r>
      <w:r w:rsidR="009316B0" w:rsidRPr="00952513">
        <w:rPr>
          <w:rFonts w:ascii="Times New Roman" w:hAnsi="Times New Roman" w:cs="Times New Roman"/>
          <w:sz w:val="24"/>
          <w:szCs w:val="24"/>
        </w:rPr>
        <w:t>асно приложение №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10.</w:t>
      </w:r>
    </w:p>
    <w:p w:rsidR="009316B0" w:rsidRPr="00952513" w:rsidRDefault="009316B0" w:rsidP="008D3BD4">
      <w:pPr>
        <w:rPr>
          <w:rFonts w:ascii="Times New Roman" w:hAnsi="Times New Roman" w:cs="Times New Roman"/>
          <w:sz w:val="24"/>
          <w:szCs w:val="24"/>
        </w:rPr>
      </w:pPr>
    </w:p>
    <w:p w:rsidR="008D3BD4" w:rsidRPr="00952513" w:rsidRDefault="008D3BD4" w:rsidP="008D3BD4">
      <w:pPr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Дата: ........................</w:t>
      </w:r>
      <w:r w:rsidR="005E748F" w:rsidRPr="009525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52513">
        <w:rPr>
          <w:rFonts w:ascii="Times New Roman" w:hAnsi="Times New Roman" w:cs="Times New Roman"/>
          <w:sz w:val="24"/>
          <w:szCs w:val="24"/>
        </w:rPr>
        <w:t xml:space="preserve"> Подпис: .......................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2513">
        <w:rPr>
          <w:rFonts w:ascii="Times New Roman" w:hAnsi="Times New Roman" w:cs="Times New Roman"/>
          <w:b/>
          <w:sz w:val="24"/>
          <w:szCs w:val="24"/>
        </w:rPr>
        <w:lastRenderedPageBreak/>
        <w:t>Част Б - Форма и съдържание на доклада за политиката за предотвратяване на големи</w:t>
      </w:r>
      <w:r w:rsidR="00687850" w:rsidRPr="009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b/>
          <w:sz w:val="24"/>
          <w:szCs w:val="24"/>
        </w:rPr>
        <w:t>аварии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Докладът за политиката за предотвратяване на големи аварии съдържа следната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задължителна информация: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I. Подробно описание на: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1. Общите цели и политиката на оператора за предотвратяване на големи аварии в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съответствие с чл. 105, ал. 2 ЗООС с оглед безопасната експлоатация на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предприятието/съоръжението.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2. Идентифицираните опасности от големи аварии в предприятието/съоръжението и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съответните конкретни мерки, които операторът трябва да предприема с цел намаляване на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риска от възникване на големи аварии, съобразени с риска от възникване на големи аварии в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предприятието/съоръжението.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3. Средствата, структурите и организацията на предприятието/съоръжението с оглед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предотвратяването на големи аварии и ограничаване на последствията от тях за човешкото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здраве и околната среда.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IІ. Описание на Системата за управление на мерките за безопасност (СУМБ), както следва: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1. Организация и персонал – ролите и задълженията на персонала, отговорен за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осигуряването на безопасната експлоатация на предприятието/съоръжението на всички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административни нива, заедно с предприетите мерки за повишаване на осведомеността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относно необходимостта от постоянно подобрение. Определяне на необходимостта от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обучение на персонала и провеждане на обучението. Определяне на отговорностите на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служителите и подизпълнителите (при наличие на такива) по отношение на безопасната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експлоатация на предприятието/съоръжението.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2. Идентифициране и оценка на големи опасности – приемане и прилагане на процедури за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систематично идентифициране на големи опасности при нормални и анормални режими на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работа, включително дейности, възложени на подизпълнители (при наличие на такива), и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оценка на вероятността от възникване и оценка на тежестта на последствията и</w:t>
      </w:r>
      <w:r w:rsidR="0068785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идентифициране на превантивни мерки.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3. Оперативен контрол и управление на технологичните процеси – приемане и прилагане на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процедури и инструкции за безопасна експлоатация, включително поддръжка на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съоръженията, работните процеси, оборудването, и за управление на аварийната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сигнализация и на временните спирания на производството, отчитане на наличната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информация относно най-добрите практики за наблюдение и контрол с оглед на намаляване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на риска от грешки в системата; управление и контрол на рисковете, свързани с остаряването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на оборудването, инсталирано в предприятието, и корозия; списък на оборудването на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предприятието, стратегия и методология за наблюдение и контрол на състоянието на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оборудването; подходящи последващи действия и всякакви необходими превантивни мерки.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Тези процедури и инструкции включват информация за задълженията на персонала при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ежедневната експлоатация и поддръжка на съоръженията, процесите и апаратите, както и</w:t>
      </w:r>
      <w:r w:rsidR="0016240F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задълженията при анормални и преходни режими на работа или нарушения на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технологичния режим.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lastRenderedPageBreak/>
        <w:t>4. Управление на промените – приемане и прилагане на процедури за планиране на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изменения и/или разширяване на дейността на съществуващи или проектиране и изграждане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на нови инсталации, производствени и/или складови съоръжения и/или процеси.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5. Аварийно планиране – приемане и прилагане на процедури за определяне на предвидими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аварийни ситуации чрез системен анализ за изготвяне, изпитване, проверка и преразглеждане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на аварийни планове за тези ситуации, както и осигуряване на подходящото обучение на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персонала на предприятието и подизпълнителите, работещи в предприятието (при наличие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на такива).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6. Мониторинг – приемане и прилагане на процедури за текуща оценка на съответствието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между целите, залегнали в ДППГА и СУМБ, и постигнатите резултати; механизми за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проучване и коригиране на СУМБ в случай на несъответствие. Процедурите трябва да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включват описание на вътрешната система на оператора за докладване на възникнали аварии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и/или "</w:t>
      </w:r>
      <w:proofErr w:type="spellStart"/>
      <w:r w:rsidRPr="00952513">
        <w:rPr>
          <w:rFonts w:ascii="Times New Roman" w:hAnsi="Times New Roman" w:cs="Times New Roman"/>
          <w:sz w:val="24"/>
          <w:szCs w:val="24"/>
        </w:rPr>
        <w:t>квазиаварии</w:t>
      </w:r>
      <w:proofErr w:type="spellEnd"/>
      <w:r w:rsidRPr="00952513">
        <w:rPr>
          <w:rFonts w:ascii="Times New Roman" w:hAnsi="Times New Roman" w:cs="Times New Roman"/>
          <w:sz w:val="24"/>
          <w:szCs w:val="24"/>
        </w:rPr>
        <w:t>", особено на тези, които включват неуспешно действие на защитните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мерки, как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миналото. Процедурите също биха могли да включат показатели за изпълнението, като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показатели за ефективност по отношение на безопасността (SPI) и/или други съответни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показатели.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7. Одит и преразглеждане – приемане и прилагане на процедури за периодична системна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оценка на политиката за предотвратяване на големи аварии (ППГА) и на ефективността и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пригодността на СУМБ; документирано преразглеждане на изпълнението на ППГА и СУМБ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и актуализирането им от страна на ръководството на предприятието, включително отчитане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и въвеждане на необходимите промени, отчетени от одита и преразглеждането.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Документите, изготвени въз основа на изискванията на това приложение, като инструкции,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процедури за оценка на риска и др., са неразделна част от ДППГА. Когато тези документи са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със значителен обем, към ДППГА, предоставен на хартиен носител по чл. 105, ал. 1, т. 5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ЗООС или като част от ДБ по чл. 107, ал. 1, т. 1 ЗООС, се прилагат само титулните им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страници, а пълните документи се предоставят на електронен носител. Документите по т. 2</w:t>
      </w:r>
      <w:r w:rsidR="006E53B3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от този раздел се прилагат към ДППГА в пълен вид на хартиен и електронен носител.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III. Нетехническо резюме на доклада, което съдържа: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1. Име или търговско наименование на оператора.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2. Наименование и пълен адрес на предприятието/съоръжението.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3. Номер/дата на актуалното уведомление за класификация на предприятието/съоръжението,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подадено съгласно чл. 103, ал. 2 или 5 ЗООС.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4. Номер/дата на становището по чл. 103, ал. 6 или 7 ЗООС за потвърждаване на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класификацията, въз основа на което е изготвен ДППГА.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5. Кратко описание на дейността или дейностите на предприятието/съоръжението.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6. Обобщена информация за наличните в предприятието/съоръжението опасни вещества от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95251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513">
        <w:rPr>
          <w:rFonts w:ascii="Times New Roman" w:hAnsi="Times New Roman" w:cs="Times New Roman"/>
          <w:sz w:val="24"/>
          <w:szCs w:val="24"/>
        </w:rPr>
        <w:t xml:space="preserve"> 3 към ЗООС, която съдържа общо наименование или, в случаите на опасно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вещество/опасни веществ</w:t>
      </w:r>
      <w:r w:rsidR="00FA6260" w:rsidRPr="00952513">
        <w:rPr>
          <w:rFonts w:ascii="Times New Roman" w:hAnsi="Times New Roman" w:cs="Times New Roman"/>
          <w:sz w:val="24"/>
          <w:szCs w:val="24"/>
        </w:rPr>
        <w:t>а от част първа на приложение №</w:t>
      </w:r>
      <w:r w:rsidRPr="00952513">
        <w:rPr>
          <w:rFonts w:ascii="Times New Roman" w:hAnsi="Times New Roman" w:cs="Times New Roman"/>
          <w:sz w:val="24"/>
          <w:szCs w:val="24"/>
        </w:rPr>
        <w:t xml:space="preserve"> 3 към ЗООС – генерично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наименование и класификация на опасностите на оп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асните вещества от </w:t>
      </w:r>
      <w:r w:rsidR="00FA6260" w:rsidRPr="0095251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952513">
        <w:rPr>
          <w:rFonts w:ascii="Times New Roman" w:hAnsi="Times New Roman" w:cs="Times New Roman"/>
          <w:sz w:val="24"/>
          <w:szCs w:val="24"/>
        </w:rPr>
        <w:t xml:space="preserve"> 3 към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ЗООС, налични в предприятието, които могат да причинят голяма авария, и ясно и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разбираемо описание на основните им опасни свойства.</w:t>
      </w:r>
    </w:p>
    <w:p w:rsidR="008D3BD4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7. Обобщена информация за идентифицираните опасности от големи аварии в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предприятието/съоръжението и мерките за предотвратяване на рисковете от големи аварии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и ограничаване на последствията от тях.</w:t>
      </w:r>
    </w:p>
    <w:p w:rsidR="008B702D" w:rsidRPr="00952513" w:rsidRDefault="008D3BD4" w:rsidP="003E17E7">
      <w:pPr>
        <w:jc w:val="both"/>
        <w:rPr>
          <w:rFonts w:ascii="Times New Roman" w:hAnsi="Times New Roman" w:cs="Times New Roman"/>
          <w:sz w:val="24"/>
          <w:szCs w:val="24"/>
        </w:rPr>
      </w:pPr>
      <w:r w:rsidRPr="00952513">
        <w:rPr>
          <w:rFonts w:ascii="Times New Roman" w:hAnsi="Times New Roman" w:cs="Times New Roman"/>
          <w:sz w:val="24"/>
          <w:szCs w:val="24"/>
        </w:rPr>
        <w:t>8. Обща информация относно начина на предупреждаване и действията, които засегнатото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население трябва да предприеме в случай на голяма авария, или посочване на източника,</w:t>
      </w:r>
      <w:r w:rsidR="00FA6260" w:rsidRPr="00952513">
        <w:rPr>
          <w:rFonts w:ascii="Times New Roman" w:hAnsi="Times New Roman" w:cs="Times New Roman"/>
          <w:sz w:val="24"/>
          <w:szCs w:val="24"/>
        </w:rPr>
        <w:t xml:space="preserve"> </w:t>
      </w:r>
      <w:r w:rsidRPr="00952513">
        <w:rPr>
          <w:rFonts w:ascii="Times New Roman" w:hAnsi="Times New Roman" w:cs="Times New Roman"/>
          <w:sz w:val="24"/>
          <w:szCs w:val="24"/>
        </w:rPr>
        <w:t>където тази информация може да се намери по електронен път</w:t>
      </w:r>
      <w:r w:rsidR="003E17E7" w:rsidRPr="00952513">
        <w:rPr>
          <w:rFonts w:ascii="Times New Roman" w:hAnsi="Times New Roman" w:cs="Times New Roman"/>
          <w:sz w:val="24"/>
          <w:szCs w:val="24"/>
        </w:rPr>
        <w:t>.</w:t>
      </w:r>
    </w:p>
    <w:sectPr w:rsidR="008B702D" w:rsidRPr="0095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FA"/>
    <w:rsid w:val="0016240F"/>
    <w:rsid w:val="001705FA"/>
    <w:rsid w:val="003E17E7"/>
    <w:rsid w:val="005E748F"/>
    <w:rsid w:val="00687850"/>
    <w:rsid w:val="006E53B3"/>
    <w:rsid w:val="007178D8"/>
    <w:rsid w:val="008B702D"/>
    <w:rsid w:val="008D3BD4"/>
    <w:rsid w:val="009316B0"/>
    <w:rsid w:val="00937A45"/>
    <w:rsid w:val="00952513"/>
    <w:rsid w:val="00D51296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EB2C5-F56F-4B83-A76E-46F3EF9E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2022-08-22T12:11:00Z</dcterms:created>
  <dcterms:modified xsi:type="dcterms:W3CDTF">2022-08-22T12:38:00Z</dcterms:modified>
</cp:coreProperties>
</file>