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A7" w:rsidRDefault="00B473C6" w:rsidP="00C63FE0">
      <w:pPr>
        <w:jc w:val="both"/>
        <w:rPr>
          <w:rFonts w:asciiTheme="minorHAnsi" w:eastAsia="Courier" w:hAnsiTheme="minorHAnsi" w:cs="Courier"/>
          <w:sz w:val="20"/>
          <w:szCs w:val="20"/>
          <w:lang w:val="bg-BG"/>
        </w:rPr>
      </w:pPr>
      <w:bookmarkStart w:id="0" w:name="_GoBack"/>
      <w:bookmarkEnd w:id="0"/>
      <w:r w:rsidRPr="00524F89">
        <w:rPr>
          <w:rFonts w:ascii="Courier" w:eastAsia="Courier" w:hAnsi="Courier" w:cs="Courier"/>
          <w:b/>
          <w:bCs/>
          <w:sz w:val="20"/>
          <w:szCs w:val="20"/>
          <w:lang w:val="bg-BG"/>
        </w:rPr>
        <w:t xml:space="preserve">Приложение № 5 </w:t>
      </w:r>
      <w:r w:rsidRPr="00524F89">
        <w:rPr>
          <w:rFonts w:ascii="Courier" w:eastAsia="Courier" w:hAnsi="Courier" w:cs="Courier"/>
          <w:sz w:val="20"/>
          <w:szCs w:val="20"/>
          <w:lang w:val="bg-BG"/>
        </w:rPr>
        <w:t>към чл. 14 и чл. 18, ал. 1(Изм. и доп. – ДВ, бр. 62 от 2022 г., в сила от 5.08.2022 г.)</w:t>
      </w:r>
    </w:p>
    <w:p w:rsidR="00F55189" w:rsidRPr="00C63FE0" w:rsidRDefault="00F55189" w:rsidP="00C63FE0">
      <w:pPr>
        <w:jc w:val="both"/>
        <w:rPr>
          <w:rFonts w:asciiTheme="minorHAnsi" w:eastAsia="Courier" w:hAnsiTheme="minorHAnsi" w:cs="Courier"/>
          <w:sz w:val="20"/>
          <w:szCs w:val="20"/>
          <w:lang w:val="en-GB"/>
        </w:rPr>
      </w:pPr>
    </w:p>
    <w:tbl>
      <w:tblPr>
        <w:tblW w:w="7954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2008A7" w:rsidRPr="00524F89">
        <w:trPr>
          <w:tblCellSpacing w:w="0" w:type="dxa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008A7" w:rsidRPr="00524F89" w:rsidRDefault="00B473C6" w:rsidP="00C63FE0">
            <w:pPr>
              <w:jc w:val="center"/>
              <w:rPr>
                <w:b/>
                <w:bCs/>
                <w:lang w:val="bg-BG"/>
              </w:rPr>
            </w:pPr>
            <w:r w:rsidRPr="00524F89">
              <w:rPr>
                <w:b/>
                <w:bCs/>
                <w:lang w:val="bg-BG"/>
              </w:rPr>
              <w:t>Информация, съдържаща се във вътрешния авариен план на предприятието/съоръжението, и допълнителна информация, съдържаща се във външния авариен план</w:t>
            </w:r>
          </w:p>
          <w:p w:rsidR="002008A7" w:rsidRPr="00524F89" w:rsidRDefault="00B473C6" w:rsidP="00C63FE0">
            <w:pPr>
              <w:jc w:val="both"/>
              <w:rPr>
                <w:b/>
                <w:bCs/>
                <w:lang w:val="bg-BG"/>
              </w:rPr>
            </w:pPr>
            <w:r w:rsidRPr="00524F89">
              <w:rPr>
                <w:b/>
                <w:bCs/>
                <w:lang w:val="bg-BG"/>
              </w:rPr>
              <w:br/>
            </w:r>
          </w:p>
          <w:p w:rsidR="002008A7" w:rsidRPr="00524F89" w:rsidRDefault="00B473C6" w:rsidP="00C63FE0">
            <w:pPr>
              <w:jc w:val="both"/>
              <w:rPr>
                <w:b/>
                <w:bCs/>
                <w:lang w:val="bg-BG"/>
              </w:rPr>
            </w:pPr>
            <w:r w:rsidRPr="00524F89">
              <w:rPr>
                <w:b/>
                <w:bCs/>
                <w:lang w:val="bg-BG"/>
              </w:rPr>
              <w:t>(Загл. изм. – ДВ, бр. 62 от 2022 г., в сила от 5.08.2022 г.)</w:t>
            </w:r>
          </w:p>
          <w:p w:rsidR="002008A7" w:rsidRPr="00524F89" w:rsidRDefault="00B473C6" w:rsidP="00C63FE0">
            <w:pPr>
              <w:jc w:val="both"/>
              <w:rPr>
                <w:lang w:val="bg-BG"/>
              </w:rPr>
            </w:pPr>
            <w:r w:rsidRPr="00524F89">
              <w:rPr>
                <w:b/>
                <w:bCs/>
                <w:lang w:val="bg-BG"/>
              </w:rPr>
              <w:br/>
            </w:r>
            <w:r w:rsidRPr="00524F89">
              <w:rPr>
                <w:lang w:val="bg-BG"/>
              </w:rPr>
              <w:t>(Изм. – ДВ, бр. 62 от 2022 г., в сила от 5.08.2022 г.) Външният и вътрешният авариен план на предприятието/съоръжението се съставят с цел да бъде постигнато високо ниво на защита на живота и здравето на хората и на околната среда чрез: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1. Осигуряване на контрол и ограничаване на последствията от аварии, така че да се сведе до минимум въздействието им и да се ограничат неблагоприятните въздействия върху човешкото здраве, околната среда и имуществото.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2. Прилагане на мерки, необходими за защита на човешкото здраве и околната среда от въздействието на големи аварии.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3. Съобщаване на необходимата информация на обществеността и осигуряване на ефективна комуникация между компетентните органи и оператора.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4. (Изм. – ДВ, бр. 62 от 2022 г., в сила от 5.08.2022 г.) Осигуряване на възстановяването и почистването на околната среда около предприятието/съоръжението след голяма авария.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I. Външен авариен план: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(Изм. – ДВ, бр. 62 от 2022 г., в сила от 5.08.2022 г.) Външният авариен план по чл. 1, т. 7 от наредбата се съставя като част от общинския план за защита при бедствия по чл. 9, ал. 10 от Закона за защита при бедствия, и съдържа следните допълнителни данни: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1. Име и длъжност на лицето/лицата, отговорно/отговорни за координацията на силите и средствата при провеждане на спасителни и неотложни аварийно-възстановителни работи извън територията на обекта.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2. Име и длъжност на лицето/лицата, упълномощено/упълномощени да задейства/задействат оповестяването и привеждането в готовност на силите и средствата при провеждане на спасителни и неотложни аварийно-възстановителни работи извън територията на обекта.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 xml:space="preserve">3. Планирани мерки за ранно оповестяване, алармиране и информиране и </w:t>
            </w:r>
            <w:r w:rsidRPr="00524F89">
              <w:rPr>
                <w:lang w:val="bg-BG"/>
              </w:rPr>
              <w:lastRenderedPageBreak/>
              <w:t>процедури за готовност и свикване.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4. (Изм. – ДВ, бр. 62 от 2022 г., в сила от 5.08.2022 г.) Планирани мерки за координиране и организиране на силите и средствата, необходими за провеждане на спасителни и неотложни аварийно-възстановителни работи извън територията на обекта, за прилагане на външния авариен план.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5. (Изм. – ДВ, бр. 62 от 2022 г., в сила от 5.08.2022 г.) Планирани мерки за оказване на помощ при спасителни и неотложни аварийно-възстановителни работи в предприятието/съоръжението.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6. (Изм. – ДВ, бр. 62 от 2022 г., в сила от 5.08.2022 г.) Планирани мерки за ограничаване на последствията извън територията на предприятието/съоръжението, включително реагиране при сценарии за големи аварии, както е посочено в доклада за безопасност, и разглеждане на възможни ефекти на доминото, в това число и сценарии, имащи въздействие върху околната среда, както и за необходимите неотложни, средно- или дългосрочни действия в съответствие с чл. 65, ал. 2 от Закона за защита при бедствия.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7. Планирани мерки за предоставяне на специфична информация, отнасяща се до аварията, и какви действия следва да предприеме обществеността и намиращите се в съседство предприятия или обекти (при наличие на такива), които не попадат в обхвата на глава седма, раздел I от ЗООС, но са идентифицирани в съответствие с чл. 103, ал. 3, т. 7 и чл. 116з, ал. 1 ЗООС относно вероятността от възникване на ефект на доминото.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8. Планирани мерки за информиране на спасителните служби в съседни държави в случай на голяма авария в предприятието/съоръжението с възможни трансгранични последствия.</w:t>
            </w:r>
            <w:r w:rsidRPr="00524F89">
              <w:rPr>
                <w:lang w:val="bg-BG"/>
              </w:rPr>
              <w:br/>
              <w:t>9. (Нова – ДВ, бр. 62 от 2022 г., в сила от 5.08.2022 г.) Мероприятия за почистване и възстановяване на околната среда и рекултивация на засегнатите земи след голяма авария.</w:t>
            </w:r>
            <w:r w:rsidRPr="00524F89">
              <w:rPr>
                <w:lang w:val="bg-BG"/>
              </w:rPr>
              <w:br/>
              <w:t>ІI. (Изм. – ДВ, бр. 62 от 2022 г., в сила от 5.08.2022 г.) Вътрешен авариен план на предприятието/съоръжението: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(Изм. – ДВ, бр. 62 от 2022 г., в сила от 5.08.2022 г.) Вътрешният авариен план на предприятието/съоръжението съдържа информация за: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1. (Изм. – ДВ, бр. 62 от 2022 г., в сила от 5.08.2022 г.) Имената или длъжностите на лицата, оправомощени за привеждането в действие на аварийния план, и имената на лицето/лицата, отговорно/отговорни за координацията на действията, които се предприемат на територията на предприятието/съоръжението в случай на авария.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2. Името и длъжността на лицето, отговорно за осъществяване на връзката с кмета на общината и органите за защита при бедствия, отговорни за изпълнение на външния авариен план.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lastRenderedPageBreak/>
              <w:br/>
              <w:t>3. Планираните действия за контрол на риска от големи аварии и за ограничаване на последствията от тях при предвидими условия или събития, които могат да доведат до възникване на голяма авария, включително описание на оборудването, осигуряващо безопасна експлоатация, и наличните ресурси, включително индивидуални и колективни средства за защита.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4. (Изм. – ДВ, бр. 62 от 2022 г., в сила от 5.08.2022 г.) Мерките за ограничаване на риска за лицата, намиращи се в предприятието/съоръжението, включително начините на оповестяване и действията, които следва да се предприемат при получаване на предупреждение.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5. Мерките за осигуряване на ранно оповестяване, алармиране и информиране на кмета на общината в случай на авария, вида на информацията, предоставяна с първоначалното оповестяване, и начините и мерките за предоставяне на допълнителна информация.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6. Мерките и начините за обучение на персонала във връзка със задълженията им и действията, които следва да предприемат при възникване на авария, и координирането на тези действия с кмета на общината при изпълнението на външния авариен план.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7. (Изм. – ДВ, бр. 62 от 2022 г., в сила от 5.08.2022 г.) Планираните сили и средства, необходими за спасителни и аварийно-възстановителни работи извън предприятието/съоръжението, извън територията на предприятието/съоръжението.</w:t>
            </w:r>
            <w:r w:rsidRPr="00524F89">
              <w:rPr>
                <w:lang w:val="bg-BG"/>
              </w:rPr>
              <w:br/>
            </w:r>
            <w:r w:rsidRPr="00524F89">
              <w:rPr>
                <w:lang w:val="bg-BG"/>
              </w:rPr>
              <w:br/>
              <w:t>8. (Изм. – ДВ, бр. 62 от 2022 г., в сила от 5.08.2022 г.) Протокол/протоколи за проведени консултации с физическите и/или юридическите лица, работещи на територията на предприятието/съоръжението, включително изпълнители и/или подизпълнители.</w:t>
            </w:r>
            <w:r w:rsidRPr="00524F89">
              <w:rPr>
                <w:lang w:val="bg-BG"/>
              </w:rPr>
              <w:br/>
              <w:t>9. (Нова – ДВ, бр. 62 от 2022 г., в сила от 5.08.2022 г.) Мероприятия за почистване и възстановяване на околната среда и рекултивация на засегнатите земи след голяма авария.</w:t>
            </w:r>
            <w:r w:rsidRPr="00524F89">
              <w:rPr>
                <w:lang w:val="bg-BG"/>
              </w:rPr>
              <w:br/>
            </w:r>
          </w:p>
        </w:tc>
      </w:tr>
    </w:tbl>
    <w:p w:rsidR="002008A7" w:rsidRPr="00524F89" w:rsidRDefault="002008A7" w:rsidP="00C63FE0">
      <w:pPr>
        <w:rPr>
          <w:rFonts w:ascii="Courier" w:eastAsia="Courier" w:hAnsi="Courier" w:cs="Courier"/>
          <w:i/>
          <w:iCs/>
          <w:sz w:val="20"/>
          <w:szCs w:val="20"/>
          <w:lang w:val="bg-BG"/>
        </w:rPr>
      </w:pPr>
    </w:p>
    <w:sectPr w:rsidR="002008A7" w:rsidRPr="00524F89">
      <w:footerReference w:type="default" r:id="rId6"/>
      <w:pgSz w:w="12241" w:h="15841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EB" w:rsidRDefault="007E79EB">
      <w:r>
        <w:separator/>
      </w:r>
    </w:p>
  </w:endnote>
  <w:endnote w:type="continuationSeparator" w:id="0">
    <w:p w:rsidR="007E79EB" w:rsidRDefault="007E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4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8"/>
      <w:gridCol w:w="9425"/>
    </w:tblGrid>
    <w:tr w:rsidR="002008A7"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2008A7" w:rsidRDefault="002008A7">
          <w:pPr>
            <w:spacing w:before="75"/>
            <w:ind w:right="150"/>
            <w:rPr>
              <w:rFonts w:ascii="Verdana" w:eastAsia="Verdana" w:hAnsi="Verdana" w:cs="Verdana"/>
              <w:color w:val="000000"/>
              <w:sz w:val="15"/>
              <w:szCs w:val="15"/>
            </w:rPr>
          </w:pPr>
        </w:p>
      </w:tc>
      <w:tc>
        <w:tcPr>
          <w:tcW w:w="9425" w:type="dxa"/>
          <w:tcBorders>
            <w:top w:val="single" w:sz="6" w:space="0" w:color="BDBDBD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2008A7" w:rsidRDefault="002008A7">
          <w:pPr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</w:tr>
  </w:tbl>
  <w:p w:rsidR="002008A7" w:rsidRDefault="002008A7" w:rsidP="00C63F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EB" w:rsidRDefault="007E79EB">
      <w:r>
        <w:separator/>
      </w:r>
    </w:p>
  </w:footnote>
  <w:footnote w:type="continuationSeparator" w:id="0">
    <w:p w:rsidR="007E79EB" w:rsidRDefault="007E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A7"/>
    <w:rsid w:val="002008A7"/>
    <w:rsid w:val="00524F89"/>
    <w:rsid w:val="005957FC"/>
    <w:rsid w:val="007244A9"/>
    <w:rsid w:val="007E79EB"/>
    <w:rsid w:val="00B473C6"/>
    <w:rsid w:val="00C63FE0"/>
    <w:rsid w:val="00F5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B1051-BC0E-4CF8-A141-67511732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</w:style>
  <w:style w:type="paragraph" w:styleId="Heading2">
    <w:name w:val="heading 2"/>
    <w:qFormat/>
    <w:pPr>
      <w:outlineLvl w:val="1"/>
    </w:pPr>
  </w:style>
  <w:style w:type="paragraph" w:styleId="Heading3">
    <w:name w:val="heading 3"/>
    <w:qFormat/>
    <w:pPr>
      <w:outlineLvl w:val="2"/>
    </w:pPr>
  </w:style>
  <w:style w:type="paragraph" w:styleId="Heading4">
    <w:name w:val="heading 4"/>
    <w:qFormat/>
    <w:pPr>
      <w:outlineLvl w:val="3"/>
    </w:pPr>
  </w:style>
  <w:style w:type="paragraph" w:styleId="Heading5">
    <w:name w:val="heading 5"/>
    <w:qFormat/>
    <w:pPr>
      <w:outlineLvl w:val="4"/>
    </w:pPr>
  </w:style>
  <w:style w:type="paragraph" w:styleId="Heading6">
    <w:name w:val="heading 6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qFormat/>
  </w:style>
  <w:style w:type="paragraph" w:customStyle="1" w:styleId="heading21">
    <w:name w:val="heading 21"/>
    <w:qFormat/>
  </w:style>
  <w:style w:type="paragraph" w:customStyle="1" w:styleId="heading31">
    <w:name w:val="heading 31"/>
    <w:qFormat/>
  </w:style>
  <w:style w:type="paragraph" w:customStyle="1" w:styleId="heading41">
    <w:name w:val="heading 41"/>
    <w:qFormat/>
  </w:style>
  <w:style w:type="paragraph" w:customStyle="1" w:styleId="heading51">
    <w:name w:val="heading 51"/>
    <w:qFormat/>
  </w:style>
  <w:style w:type="paragraph" w:customStyle="1" w:styleId="heading61">
    <w:name w:val="heading 61"/>
    <w:qFormat/>
  </w:style>
  <w:style w:type="paragraph" w:styleId="Header">
    <w:name w:val="header"/>
    <w:basedOn w:val="Normal"/>
    <w:link w:val="HeaderChar"/>
    <w:uiPriority w:val="99"/>
    <w:unhideWhenUsed/>
    <w:rsid w:val="00C63FE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FE0"/>
  </w:style>
  <w:style w:type="paragraph" w:styleId="Footer">
    <w:name w:val="footer"/>
    <w:basedOn w:val="Normal"/>
    <w:link w:val="FooterChar"/>
    <w:uiPriority w:val="99"/>
    <w:unhideWhenUsed/>
    <w:rsid w:val="00C63FE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Величка Влахова</dc:creator>
  <cp:lastModifiedBy>Ganka</cp:lastModifiedBy>
  <cp:revision>2</cp:revision>
  <dcterms:created xsi:type="dcterms:W3CDTF">2022-08-17T06:32:00Z</dcterms:created>
  <dcterms:modified xsi:type="dcterms:W3CDTF">2022-08-17T06:32:00Z</dcterms:modified>
  <cp:contentStatus>Created by the \'abHTML to RTF .Net\'bb 7.4.4.30</cp:contentStatus>
</cp:coreProperties>
</file>