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8A7" w:rsidRPr="00524F89" w:rsidRDefault="00B473C6">
      <w:pPr>
        <w:rPr>
          <w:rFonts w:ascii="Courier" w:eastAsia="Courier" w:hAnsi="Courier" w:cs="Courier"/>
          <w:sz w:val="20"/>
          <w:szCs w:val="20"/>
          <w:lang w:val="bg-BG"/>
        </w:rPr>
      </w:pPr>
      <w:bookmarkStart w:id="0" w:name="_GoBack"/>
      <w:bookmarkEnd w:id="0"/>
      <w:r w:rsidRPr="00524F89">
        <w:rPr>
          <w:rFonts w:ascii="Courier" w:eastAsia="Courier" w:hAnsi="Courier" w:cs="Courier"/>
          <w:b/>
          <w:bCs/>
          <w:sz w:val="20"/>
          <w:szCs w:val="20"/>
          <w:lang w:val="bg-BG"/>
        </w:rPr>
        <w:t xml:space="preserve">Приложение № 4  </w:t>
      </w:r>
      <w:r w:rsidRPr="00524F89">
        <w:rPr>
          <w:rFonts w:ascii="Courier" w:eastAsia="Courier" w:hAnsi="Courier" w:cs="Courier"/>
          <w:sz w:val="20"/>
          <w:szCs w:val="20"/>
          <w:lang w:val="bg-BG"/>
        </w:rPr>
        <w:t>към чл. 13(Изм. и доп. – ДВ, бр. 62 от 2022 г., в сила от 5.08.2022 г.)</w:t>
      </w:r>
    </w:p>
    <w:tbl>
      <w:tblPr>
        <w:tblW w:w="7954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4"/>
      </w:tblGrid>
      <w:tr w:rsidR="002008A7" w:rsidRPr="00524F89">
        <w:trPr>
          <w:tblCellSpacing w:w="0" w:type="dxa"/>
        </w:trPr>
        <w:tc>
          <w:tcPr>
            <w:tcW w:w="79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2008A7" w:rsidRPr="00524F89" w:rsidRDefault="00B473C6">
            <w:pPr>
              <w:jc w:val="center"/>
              <w:rPr>
                <w:b/>
                <w:bCs/>
                <w:lang w:val="bg-BG"/>
              </w:rPr>
            </w:pPr>
            <w:r w:rsidRPr="00524F89">
              <w:rPr>
                <w:b/>
                <w:bCs/>
                <w:lang w:val="bg-BG"/>
              </w:rPr>
              <w:t>Форма и съдържание на доклада за безопасност</w:t>
            </w:r>
          </w:p>
          <w:p w:rsidR="002008A7" w:rsidRPr="00524F89" w:rsidRDefault="00B473C6" w:rsidP="002E6F58">
            <w:pPr>
              <w:jc w:val="both"/>
              <w:rPr>
                <w:lang w:val="bg-BG"/>
              </w:rPr>
            </w:pPr>
            <w:r w:rsidRPr="00524F89">
              <w:rPr>
                <w:b/>
                <w:bCs/>
                <w:lang w:val="bg-BG"/>
              </w:rPr>
              <w:br/>
            </w:r>
            <w:r w:rsidRPr="00524F89">
              <w:rPr>
                <w:b/>
                <w:bCs/>
                <w:lang w:val="bg-BG"/>
              </w:rPr>
              <w:br/>
            </w:r>
            <w:r w:rsidRPr="00524F89">
              <w:rPr>
                <w:lang w:val="bg-BG"/>
              </w:rPr>
              <w:t>Докладът за безопасност се съставя с цел да докаже, че операторът на ПСВРП е предприел всички необходими мерки за предотвратяване на големи аварии с опасни вещества и ограничаване на последствията от тях за живота и здравето на хората и околната среда чрез: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1. Планиране, разработване и прилагане на политика за предотвратяване на големи аварии и система за управление на мерките за безопасност.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2. Планирано и системно идентифициране на опасностите от големи аварии и предприемане на мерки за тяхното предотвратяване и за ограничаване на последствията от тях за хората и околната среда.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3. Включване на мерки за осигуряване на безопасност и надеждност при проектирането, изграждането, експлоатацията и поддръжката на всяка инсталация, складово и/или производствено съоръжение и инфраструктура в предприятието, при експлоатацията на които е възможно възникването на голяма авария.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4. Изготвяне на авариен план за предприятието и изготвяне на информация, която операторът предоставя на компетентните органи за изготвяне на външен авариен план.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5. Предоставяне на информация, позволяваща на съответния орган по глава шеста от ЗООС и по устройствено планиране на територията съгласно Закона за устройство на територията в рамките на неговата компетентност да изпълни задълженията си по чл. 104 ЗООС.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6. Предоставяне на изчерпателен и актуален списък на опасните химични вещества в предприятието/съоръжението, в т.ч. под формата на отпадъци.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Докладът за безопасност съдържа следната задължителна информация: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I. (Доп. – ДВ, бр. 62 от 2022 г., в сила от 5.08.2022 г.) Доклад за политиката за предотвратяване на големи аварии, изготвен съгласно приложение № 2 към чл. 11, ал. 1 (Част Б).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II. Подробно описание на: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1. Околната среда в района на предприятието: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1.1. описание на предприятието и околната му среда, включително географското му местоположение, метеорологични, геоложки, хидрографски условия, предмета на дейност и ако е необходимо – историята му;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lastRenderedPageBreak/>
              <w:br/>
              <w:t>1.2. идентифициране и описание на вида на съоръженията, процесите и дейностите, при които е възможно възникването на голяма авария;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1.3. (Изм. – ДВ, бр. 62 от 2022 г., в сила от 5.08.2022 г.) описание на местата в предприятието, където е възможно възникването на голяма авария, включително схема/карта на територията на предприятието/съоръжението с обозначение на тези места;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 xml:space="preserve">1.4. въз основа на наличната информация, идентифициране на съседните предприятия, както и обектите, районите и строежите, които не попадат в обхвата на глава седма, раздел I от ЗООС, но биха могли да бъдат източник или да увеличат риска или последствията от голяма авария и от ефекта на доминото. 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2. Съоръженията, процесите и дейностите в предприятието: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2.1. описание на основните дейности и на продуктите на частите на предприятието, които са важни за безопасната експлоатация или са източници на риск от големи аварии, както и условията, при които е възможно възникването на големи аварии, с описание на планираните мерки за предотвратяването им;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2.2. описание на технологичните процеси и работните методи, и по-специално на етапите на протичане на процесите; отчитане на наличната информация относно най-добрите практики, когато това е приложимо;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2.3. актуален и изчерпателен списък на опасните химични вещества в предприятието/съоръжението, в т.ч. под формата на отпадъци, който съдържа: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2.3.1. химично наименование, CAS №, ЕС №, наименование по IUPAC;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2.3.2. капацитет на съоръженията и максимално количество, което е налично или се очаква да бъде налично по всяко време на площадката на предприятието/съоръжението;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2.3.3. физични, химични, токсикологични свойства и категория/категории на опасност (стандартни фрази на риска), както и описание на преките и/или косвените (забавени във времето) опасни ефекти за човека и околната среда;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2.3.4. физични и химични свойства при нормални условия на употреба или при предвидими аварийни ситуации.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3. Идентифицираните опасности и оценка на рисковете от аварии в предприятието/съоръжението и съответните превантивни мерки: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 xml:space="preserve">3.1. подробно описание на възможните сценарии за големи аварии и вероятността за възникването им и условията, при които те настъпват, в т.ч. </w:t>
            </w:r>
            <w:r w:rsidRPr="00524F89">
              <w:rPr>
                <w:lang w:val="bg-BG"/>
              </w:rPr>
              <w:lastRenderedPageBreak/>
              <w:t xml:space="preserve">резюме на събитията, които могат да изиграят ролята на първопричина за такива сценарии, и описание на факторите във или извън предприятието, които могат да доведат до осъществяването на тези сценарии, което включва: 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 xml:space="preserve">3.1.1. експлоатационни причини; 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3.1.2. външни причини, като например свързани с "ефекти на доминото", обекти, райони и строежи, които не попадат в обхвата на глава седма, раздел I от ЗООС, но биха могли да бъдат източник или да увеличат риска или последствията от голяма авария;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 xml:space="preserve">3.1.3. естествени причини, например земетресения или наводнения; 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3.2. (Изм. – ДВ, бр. 62 от 2022 г., в сила от 5.08.2022 г.) оценка на размера и тежестта на последствията от идентифицираните големи аварии, включително карти, изображения или еквивалентни описания, където е уместно, показващи зоните, които ще бъдат засегнати при такива аварии, възникнали в предприятието, при спазване на изискването за опазване поверителността на информацията по чл. 112, ал. 4, 5 и 7 ЗООС;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 xml:space="preserve">3.3. оценка на минали аварии и инциденти, при които са използвани същите опасни вещества и процеси, отчитане на поуките от тях и изрично позоваване на конкретни мерки, предприети за предотвратяване на такива аварии; 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3.4. описание на техническите параметри и на оборудването, използвано за безопасната експлоатация на съоръженията.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4. Мерки за защита и средства за ограничаване на последствията от големи аварии: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4.1. описание на оборудването, инсталирано в предприятието с цел ограничаване на последствията от голяма авария за човешкото здраве и за околната среда;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4.2. организация и описание на мерките за предупреждение, алармиране и информиране в случай на авария, както и на мерките по локализиране и ограничаване на последствията, включително на системите за детекция/защита, технически съоръжения за ограничаване на аварийно изпуснатите количества, включително чрез напръскване с водна струя, парни екрани, съдове за аварийно улавяне или събирателни съдове, отсекателни клапани; инертизационни системи; улавяне и събиране на водите, изпускани при пожар;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4.3. описание на наличните сили и средства (във и извън предприятието), необходими за провеждане на спасителни и неотложни аварийно-възстановителни работи, в т.ч. за организиране на тревога и интервенция;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 xml:space="preserve">4.4. описание на всички технически и нетехнически мерки, които имат </w:t>
            </w:r>
            <w:r w:rsidRPr="00524F89">
              <w:rPr>
                <w:lang w:val="bg-BG"/>
              </w:rPr>
              <w:lastRenderedPageBreak/>
              <w:t>отношение към намаляването на последствията от голяма авария;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4.5. резюме на информацията по т. 4.1, 4.2 и 4.3, необходима за изготвянето на авариен план на предприятието.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III. Информация за създадената организация за спазване на правилата и нормите за пожарна и аварийна безопасност.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IV. Информация за физическите и/или юридическите лица, участвали в изготвянето на ДБ, съдържаща име, адрес, телефон, факс и електронна поща.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V. Нетехническо резюме на доклада, което съдържа: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1. Име или търговско наименование на оператора.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2. Наименование и пълен адрес на предприятието/съоръжението.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3. Номер/дата на актуалното уведомление за класификация на предприятието/съоръжението, подадено съгласно чл. 103, ал. 2 или 5 ЗООС.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4. Номер/дата на становището по чл. 103, ал. 6 или 7 ЗООС за потвърждаване на класификацията, въз основа на което е изготвен ДБ.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5. Кратко описание на дейността или дейностите на предприятието/съоръжението.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6. Обобщена информация за наличните в предприятието/съоръжението опасни вещества от приложение № 3 към ЗООС, която съдържа общо наименование, или в случаите на опасно вещество/опасни вещества от част 1 на приложение № 3 към ЗООС – генерично наименование и класификация на опасностите на опасните вещества от приложение № 3 към ЗООС, налични в предприятието, които могат да причинят голяма авария, и ясно и разбираемо описание на основните им опасни свойства.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7. Обобщена информация относно естеството на опасностите от големи аварии и потенциалното им въздействие върху човешкото здраве и околната среда и обобщена информация за основните видове сценарии за големи аварии и мерките за контрол при такива случаи.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8. Обща информация относно начина на предупреждаване и действията, които засегнатото население трябва да предприеме в случай на голяма авария, или източника, където тази информация може да бъде достъпна по електронен път.</w:t>
            </w:r>
            <w:r w:rsidRPr="00524F89">
              <w:rPr>
                <w:lang w:val="bg-BG"/>
              </w:rPr>
              <w:br/>
            </w:r>
            <w:r w:rsidRPr="00524F89">
              <w:rPr>
                <w:lang w:val="bg-BG"/>
              </w:rPr>
              <w:br/>
              <w:t>9. Когато е приложимо – данни за наличието на опасност от възникване на голяма авария в предприятието с трансгранични последствия на територията на съседна държава членка съгласно Конвенцията.</w:t>
            </w:r>
          </w:p>
        </w:tc>
      </w:tr>
    </w:tbl>
    <w:p w:rsidR="002008A7" w:rsidRPr="00524F89" w:rsidRDefault="002008A7" w:rsidP="002E6F58">
      <w:pPr>
        <w:rPr>
          <w:rFonts w:ascii="Courier" w:eastAsia="Courier" w:hAnsi="Courier" w:cs="Courier"/>
          <w:i/>
          <w:iCs/>
          <w:sz w:val="20"/>
          <w:szCs w:val="20"/>
          <w:lang w:val="bg-BG"/>
        </w:rPr>
      </w:pPr>
    </w:p>
    <w:sectPr w:rsidR="002008A7" w:rsidRPr="00524F89">
      <w:footerReference w:type="default" r:id="rId6"/>
      <w:pgSz w:w="12241" w:h="15841"/>
      <w:pgMar w:top="1134" w:right="1134" w:bottom="1134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AE6" w:rsidRDefault="004E3AE6">
      <w:r>
        <w:separator/>
      </w:r>
    </w:p>
  </w:endnote>
  <w:endnote w:type="continuationSeparator" w:id="0">
    <w:p w:rsidR="004E3AE6" w:rsidRDefault="004E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4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20"/>
      <w:gridCol w:w="6523"/>
    </w:tblGrid>
    <w:tr w:rsidR="002008A7" w:rsidTr="002E6F58">
      <w:trPr>
        <w:trHeight w:val="375"/>
      </w:trPr>
      <w:tc>
        <w:tcPr>
          <w:tcW w:w="3420" w:type="dxa"/>
          <w:tcBorders>
            <w:top w:val="single" w:sz="6" w:space="0" w:color="BDBDBD"/>
            <w:left w:val="nil"/>
            <w:bottom w:val="nil"/>
            <w:right w:val="nil"/>
            <w:tl2br w:val="nil"/>
            <w:tr2bl w:val="nil"/>
          </w:tcBorders>
          <w:vAlign w:val="center"/>
        </w:tcPr>
        <w:p w:rsidR="002008A7" w:rsidRDefault="002008A7">
          <w:pPr>
            <w:spacing w:before="75"/>
            <w:ind w:right="150"/>
            <w:rPr>
              <w:rFonts w:ascii="Verdana" w:eastAsia="Verdana" w:hAnsi="Verdana" w:cs="Verdana"/>
              <w:color w:val="000000"/>
              <w:sz w:val="15"/>
              <w:szCs w:val="15"/>
            </w:rPr>
          </w:pPr>
        </w:p>
      </w:tc>
      <w:tc>
        <w:tcPr>
          <w:tcW w:w="6523" w:type="dxa"/>
          <w:tcBorders>
            <w:top w:val="single" w:sz="6" w:space="0" w:color="BDBDBD"/>
            <w:left w:val="nil"/>
            <w:bottom w:val="nil"/>
            <w:right w:val="nil"/>
            <w:tl2br w:val="nil"/>
            <w:tr2bl w:val="nil"/>
          </w:tcBorders>
          <w:vAlign w:val="center"/>
        </w:tcPr>
        <w:p w:rsidR="002008A7" w:rsidRDefault="002008A7">
          <w:pPr>
            <w:rPr>
              <w:rFonts w:ascii="Verdana" w:eastAsia="Verdana" w:hAnsi="Verdana" w:cs="Verdana"/>
              <w:color w:val="000000"/>
              <w:sz w:val="18"/>
              <w:szCs w:val="18"/>
            </w:rPr>
          </w:pPr>
        </w:p>
      </w:tc>
    </w:tr>
  </w:tbl>
  <w:p w:rsidR="002008A7" w:rsidRDefault="002008A7" w:rsidP="002E6F5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AE6" w:rsidRDefault="004E3AE6">
      <w:r>
        <w:separator/>
      </w:r>
    </w:p>
  </w:footnote>
  <w:footnote w:type="continuationSeparator" w:id="0">
    <w:p w:rsidR="004E3AE6" w:rsidRDefault="004E3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A7"/>
    <w:rsid w:val="001817CA"/>
    <w:rsid w:val="002008A7"/>
    <w:rsid w:val="002B79AB"/>
    <w:rsid w:val="002E6F58"/>
    <w:rsid w:val="004E3AE6"/>
    <w:rsid w:val="00524F89"/>
    <w:rsid w:val="00626702"/>
    <w:rsid w:val="00B473C6"/>
    <w:rsid w:val="00D544F1"/>
    <w:rsid w:val="00EB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B1051-BC0E-4CF8-A141-67511732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</w:style>
  <w:style w:type="paragraph" w:styleId="Heading2">
    <w:name w:val="heading 2"/>
    <w:qFormat/>
    <w:pPr>
      <w:outlineLvl w:val="1"/>
    </w:pPr>
  </w:style>
  <w:style w:type="paragraph" w:styleId="Heading3">
    <w:name w:val="heading 3"/>
    <w:qFormat/>
    <w:pPr>
      <w:outlineLvl w:val="2"/>
    </w:pPr>
  </w:style>
  <w:style w:type="paragraph" w:styleId="Heading4">
    <w:name w:val="heading 4"/>
    <w:qFormat/>
    <w:pPr>
      <w:outlineLvl w:val="3"/>
    </w:pPr>
  </w:style>
  <w:style w:type="paragraph" w:styleId="Heading5">
    <w:name w:val="heading 5"/>
    <w:qFormat/>
    <w:pPr>
      <w:outlineLvl w:val="4"/>
    </w:pPr>
  </w:style>
  <w:style w:type="paragraph" w:styleId="Heading6">
    <w:name w:val="heading 6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qFormat/>
  </w:style>
  <w:style w:type="paragraph" w:customStyle="1" w:styleId="heading21">
    <w:name w:val="heading 21"/>
    <w:qFormat/>
  </w:style>
  <w:style w:type="paragraph" w:customStyle="1" w:styleId="heading31">
    <w:name w:val="heading 31"/>
    <w:qFormat/>
  </w:style>
  <w:style w:type="paragraph" w:customStyle="1" w:styleId="heading41">
    <w:name w:val="heading 41"/>
    <w:qFormat/>
  </w:style>
  <w:style w:type="paragraph" w:customStyle="1" w:styleId="heading51">
    <w:name w:val="heading 51"/>
    <w:qFormat/>
  </w:style>
  <w:style w:type="paragraph" w:customStyle="1" w:styleId="heading61">
    <w:name w:val="heading 61"/>
    <w:qFormat/>
  </w:style>
  <w:style w:type="paragraph" w:styleId="Header">
    <w:name w:val="header"/>
    <w:basedOn w:val="Normal"/>
    <w:link w:val="HeaderChar"/>
    <w:uiPriority w:val="99"/>
    <w:unhideWhenUsed/>
    <w:rsid w:val="002E6F5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F58"/>
  </w:style>
  <w:style w:type="paragraph" w:styleId="Footer">
    <w:name w:val="footer"/>
    <w:basedOn w:val="Normal"/>
    <w:link w:val="FooterChar"/>
    <w:uiPriority w:val="99"/>
    <w:unhideWhenUsed/>
    <w:rsid w:val="002E6F5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Величка Влахова</dc:creator>
  <cp:lastModifiedBy>Ganka</cp:lastModifiedBy>
  <cp:revision>2</cp:revision>
  <dcterms:created xsi:type="dcterms:W3CDTF">2022-08-17T06:33:00Z</dcterms:created>
  <dcterms:modified xsi:type="dcterms:W3CDTF">2022-08-17T06:33:00Z</dcterms:modified>
  <cp:contentStatus>Created by the \'abHTML to RTF .Net\'bb 7.4.4.30</cp:contentStatus>
</cp:coreProperties>
</file>