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A7" w:rsidRDefault="00B473C6">
      <w:pPr>
        <w:rPr>
          <w:rFonts w:asciiTheme="minorHAnsi" w:eastAsia="Courier" w:hAnsiTheme="minorHAnsi" w:cs="Courier"/>
          <w:sz w:val="20"/>
          <w:szCs w:val="20"/>
          <w:lang w:val="bg-BG"/>
        </w:rPr>
      </w:pPr>
      <w:bookmarkStart w:id="0" w:name="_GoBack"/>
      <w:bookmarkEnd w:id="0"/>
      <w:r w:rsidRPr="00524F89">
        <w:rPr>
          <w:rFonts w:ascii="Courier" w:eastAsia="Courier" w:hAnsi="Courier" w:cs="Courier"/>
          <w:b/>
          <w:bCs/>
          <w:sz w:val="20"/>
          <w:szCs w:val="20"/>
          <w:lang w:val="bg-BG"/>
        </w:rPr>
        <w:t>Приложение № 2 (</w:t>
      </w:r>
      <w:r w:rsidR="005A4C18">
        <w:rPr>
          <w:rFonts w:ascii="Courier" w:eastAsia="Courier" w:hAnsi="Courier" w:cs="Courier"/>
          <w:b/>
          <w:bCs/>
          <w:sz w:val="20"/>
          <w:szCs w:val="20"/>
          <w:lang w:val="bg-BG"/>
        </w:rPr>
        <w:t xml:space="preserve">част </w:t>
      </w:r>
      <w:r w:rsidRPr="00524F89">
        <w:rPr>
          <w:rFonts w:ascii="Courier" w:eastAsia="Courier" w:hAnsi="Courier" w:cs="Courier"/>
          <w:b/>
          <w:bCs/>
          <w:sz w:val="20"/>
          <w:szCs w:val="20"/>
          <w:lang w:val="bg-BG"/>
        </w:rPr>
        <w:t>Б)</w:t>
      </w:r>
      <w:r w:rsidRPr="00524F89">
        <w:rPr>
          <w:rFonts w:ascii="Courier" w:eastAsia="Courier" w:hAnsi="Courier" w:cs="Courier"/>
          <w:sz w:val="20"/>
          <w:szCs w:val="20"/>
          <w:lang w:val="bg-BG"/>
        </w:rPr>
        <w:t>към чл. 11, ал. 1(Доп. – ДВ, бр. 62 от 2022 г., в сила от 5.08.2022 г.)</w:t>
      </w:r>
    </w:p>
    <w:p w:rsidR="006D65DE" w:rsidRPr="006D65DE" w:rsidRDefault="006D65DE">
      <w:pPr>
        <w:rPr>
          <w:rFonts w:asciiTheme="minorHAnsi" w:eastAsia="Courier" w:hAnsiTheme="minorHAnsi" w:cs="Courier"/>
          <w:sz w:val="20"/>
          <w:szCs w:val="20"/>
          <w:lang w:val="bg-BG"/>
        </w:rPr>
      </w:pPr>
    </w:p>
    <w:p w:rsidR="006D65DE" w:rsidRPr="006D65DE" w:rsidRDefault="006D65DE" w:rsidP="006D65DE">
      <w:pPr>
        <w:jc w:val="both"/>
        <w:rPr>
          <w:rFonts w:asciiTheme="minorHAnsi" w:eastAsia="Courier" w:hAnsiTheme="minorHAnsi" w:cs="Courier"/>
          <w:sz w:val="20"/>
          <w:szCs w:val="20"/>
          <w:lang w:val="bg-BG"/>
        </w:rPr>
      </w:pPr>
    </w:p>
    <w:tbl>
      <w:tblPr>
        <w:tblW w:w="7954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4"/>
      </w:tblGrid>
      <w:tr w:rsidR="002008A7" w:rsidRPr="00577E1E">
        <w:trPr>
          <w:tblCellSpacing w:w="0" w:type="dxa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008A7" w:rsidRPr="005A4C18" w:rsidRDefault="00B473C6" w:rsidP="005A4C18">
            <w:pPr>
              <w:jc w:val="center"/>
              <w:rPr>
                <w:b/>
                <w:lang w:val="bg-BG"/>
              </w:rPr>
            </w:pPr>
            <w:r w:rsidRPr="005A4C18">
              <w:rPr>
                <w:b/>
                <w:lang w:val="bg-BG"/>
              </w:rPr>
              <w:t>Част Б - Форма и съдържание на доклада за политиката за предотвратяване на големи аварии</w:t>
            </w:r>
          </w:p>
          <w:p w:rsidR="002008A7" w:rsidRDefault="00B473C6" w:rsidP="006D65DE">
            <w:pPr>
              <w:jc w:val="both"/>
              <w:rPr>
                <w:lang w:val="bg-BG"/>
              </w:rPr>
            </w:pPr>
            <w:r w:rsidRPr="00577E1E">
              <w:rPr>
                <w:lang w:val="bg-BG"/>
              </w:rPr>
              <w:br/>
            </w:r>
            <w:r w:rsidRPr="00577E1E">
              <w:rPr>
                <w:lang w:val="bg-BG"/>
              </w:rPr>
              <w:br/>
            </w:r>
            <w:r w:rsidRPr="00524F89">
              <w:rPr>
                <w:lang w:val="bg-BG"/>
              </w:rPr>
              <w:t>Докладът за политиката за предотвратяване на големи аварии съдържа следната задължителна информация: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I. Подробно описание на: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1. Общите цели и политиката на оператора за предотвратяване на големи аварии в съответствие с чл. 105, ал. 2 ЗООС с оглед безопасната експлоатация на предприятието/съоръжението.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2. Идентифицираните опасности от големи аварии в предприятието/съоръжението и съответните конкретни мерки, които операторът трябва да предприема с цел намаляване на риска от възникване на големи аварии, съобразени с риска от възникване на големи аварии в предприятието/съоръжението.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3. Средствата, структурите и организацията на предприятието/съоръжението с оглед предотвратяването на големи аварии и ограничаване на последствията от тях за човешкото здраве и околната среда.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IІ. Описание на Системата за управление на мерките за безопасност (СУМБ), както следва: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1. Организация и персонал – ролите и задълженията на персонала, отговорен за осигуряването на безопасната експлоатация на предприятието/съоръжението на всички административни нива, заедно с предприетите мерки за повишаване на осведомеността относно необходимостта от постоянно подобрение. Определяне на необходимостта от обучение на персонала и провеждане на обучението. Определяне на отговорностите на служителите и подизпълнителите (при наличие на такива) по отношение на безопасната експлоатация на предприятието/съоръжението.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2. Идентифициране и оценка на големи опасности – приемане и прилагане на процедури за систематично идентифициране на големи опасности при нормални и анормални режими на работа, включително дейности, възложени на подизпълнители (при наличие на такива), и оценка на вероятността от възникване и оценка на тежестта на последствията и идентифициране на превантивни мерки.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 xml:space="preserve">3. Оперативен контрол и управление на технологичните процеси – приемане и прилагане на процедури и инструкции за безопасна експлоатация, </w:t>
            </w:r>
            <w:r w:rsidRPr="00524F89">
              <w:rPr>
                <w:lang w:val="bg-BG"/>
              </w:rPr>
              <w:lastRenderedPageBreak/>
              <w:t>включително поддръжка на съоръженията, работните процеси, оборудването, и за управление на аварийната сигнализация и на временните спирания на производството, отчитане на наличната информация относно най-добрите практики за наблюдение и контрол с оглед на намаляване на риска от грешки в системата; управление и контрол на рисковете, свързани с остаряването на оборудването, инсталирано в предприятието, и корозия; списък на оборудването на предприятието, стратегия и методология за наблюдение и контрол на състоянието на оборудването; подходящи последващи действия и всякакви необходими превантивни мерки. Тези процедури и инструкции включват информация за задълженията на персонала при ежедневната експлоатация и поддръжка на съоръженията, процесите и апаратите, както и задълженията при анормални и преходни режими на работа или нарушения на технологичния режим.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4. Управление на промените – приемане и прилагане на процедури за планиране на изменения и/или разширяване на дейността на съществуващи или проектиране и изграждане на нови инсталации, производствени и/или складови съоръжения и/или процеси.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5. Аварийно планиране – приемане и прилагане на процедури за определяне на предвидими аварийни ситуации чрез системен анализ за изготвяне, изпитване, проверка и преразглеждане на аварийни планове за тези ситуации, както и осигуряване на подходящото обучение на персонала на предприятието и подизпълнителите, работещи в предприятието (при наличие на такива).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6. Мониторинг – приемане и прилагане на процедури за текуща оценка на съответствието между целите, залегнали в ДППГА и СУМБ, и постигнатите резултати; механизми за проучване и коригиране на СУМБ в случай на несъответствие. Процедурите трябва да включват описание на вътрешната система на оператора за докладване на възникнали аварии и/или "квазиаварии", особено на тези, които включват неуспешно действие на защитните мерки, както и тяхното разследване и последващи мерки на основата на придобития опит от миналото. Процедурите също биха могли да включат показатели за изпълнението, като показатели за ефективност по отношение на безопасността (SPI) и/или други съответни показатели.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7. Одит и преразглеждане – приемане и прилагане на процедури за периодична системна оценка на политиката за предотвратяване на големи аварии (ППГА) и на ефективността и пригодността на СУМБ; документирано преразглеждане на изпълнението на ППГА и СУМБ и актуализирането им от страна на ръководството на предприятието, включително отчитане и въвеждане на необходимите промени, отчетени от одита и преразглеждането.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 xml:space="preserve">Документите, изготвени въз основа на изискванията на това приложение, като инструкции, процедури за оценка на риска и др., са неразделна част от ДППГА. Когато тези документи са със значителен обем, към ДППГА, предоставен на хартиен носител по чл. 105, ал. 1, т. 5 ЗООС или като част от </w:t>
            </w:r>
            <w:r w:rsidRPr="00524F89">
              <w:rPr>
                <w:lang w:val="bg-BG"/>
              </w:rPr>
              <w:lastRenderedPageBreak/>
              <w:t>ДБ по чл. 107, ал. 1, т. 1 ЗООС, се прилагат само титулните им страници, а пълните документи се предоставят на електронен носител. Документите по т. 2 от този раздел се прилагат към ДППГА в пълен вид на хартиен и електронен носител.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III. Нетехническо резюме на доклада, което съдържа: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1. Име или търговско наименование на оператора.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2. Наименование и пълен адрес на предприятието/съоръжението.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3. Номер/дата на актуалното уведомление за класификация на предприятието/съоръжението, подадено съгласно чл. 103, ал. 2 или 5 ЗООС.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4. Номер/дата на становището по чл. 103, ал. 6 или 7 ЗООС за потвърждаване на класификацията, въз основа на което е изготвен ДППГА.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5. Кратко описание на дейността или дейностите на предприятието/съоръжението.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6. Обобщена информация за наличните в предприятието/съоръжението опасни вещества от приложение № 3 към ЗООС, която съдържа общо наименование или, в случаите на опасно вещество/опасни вещества от част първа на приложение № 3 към ЗООС – генерично наименование и класификация на опасностите на опасните вещества от приложение № 3 към ЗООС, налични в предприятието, които могат да причинят голяма авария, и ясно и разбираемо описание на основните им опасни свойства.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7. Обобщена информация за идентифицираните опасности от големи аварии в предприятието/съоръжението и мерките за предотвратяване на рисковете от големи аварии и ограничаване на последствията от тях.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8. Обща информация относно начина на предупреждаване и действията, които засегнатото население трябва да предприеме в случай на голяма авария, или посочване на източника, където тази информация може да се намери по електронен път.</w:t>
            </w:r>
          </w:p>
          <w:p w:rsidR="00577E1E" w:rsidRDefault="00577E1E" w:rsidP="006D65DE">
            <w:pPr>
              <w:jc w:val="both"/>
              <w:rPr>
                <w:lang w:val="bg-BG"/>
              </w:rPr>
            </w:pPr>
          </w:p>
          <w:p w:rsidR="00577E1E" w:rsidRPr="00524F89" w:rsidRDefault="00577E1E" w:rsidP="006D65DE">
            <w:pPr>
              <w:jc w:val="both"/>
              <w:rPr>
                <w:lang w:val="bg-BG"/>
              </w:rPr>
            </w:pPr>
          </w:p>
        </w:tc>
      </w:tr>
    </w:tbl>
    <w:p w:rsidR="006D65DE" w:rsidRDefault="006D65DE">
      <w:pPr>
        <w:rPr>
          <w:rFonts w:asciiTheme="minorHAnsi" w:eastAsia="Courier" w:hAnsiTheme="minorHAnsi" w:cs="Courier"/>
          <w:b/>
          <w:bCs/>
          <w:sz w:val="20"/>
          <w:szCs w:val="20"/>
          <w:lang w:val="bg-BG"/>
        </w:rPr>
      </w:pPr>
    </w:p>
    <w:sectPr w:rsidR="006D65DE">
      <w:footerReference w:type="default" r:id="rId6"/>
      <w:pgSz w:w="12241" w:h="15841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41" w:rsidRDefault="00282141">
      <w:r>
        <w:separator/>
      </w:r>
    </w:p>
  </w:endnote>
  <w:endnote w:type="continuationSeparator" w:id="0">
    <w:p w:rsidR="00282141" w:rsidRDefault="0028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"/>
      <w:gridCol w:w="9425"/>
    </w:tblGrid>
    <w:tr w:rsidR="002008A7"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2008A7" w:rsidRDefault="002008A7">
          <w:pPr>
            <w:spacing w:before="75"/>
            <w:ind w:right="150"/>
            <w:rPr>
              <w:rFonts w:ascii="Verdana" w:eastAsia="Verdana" w:hAnsi="Verdana" w:cs="Verdana"/>
              <w:color w:val="000000"/>
              <w:sz w:val="15"/>
              <w:szCs w:val="15"/>
            </w:rPr>
          </w:pPr>
        </w:p>
      </w:tc>
      <w:tc>
        <w:tcPr>
          <w:tcW w:w="9425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2008A7" w:rsidRDefault="002008A7">
          <w:pPr>
            <w:rPr>
              <w:rFonts w:ascii="Verdana" w:eastAsia="Verdana" w:hAnsi="Verdana" w:cs="Verdana"/>
              <w:color w:val="000000"/>
              <w:sz w:val="18"/>
              <w:szCs w:val="18"/>
            </w:rPr>
          </w:pPr>
        </w:p>
      </w:tc>
    </w:tr>
  </w:tbl>
  <w:p w:rsidR="002008A7" w:rsidRDefault="002008A7" w:rsidP="006D65D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41" w:rsidRDefault="00282141">
      <w:r>
        <w:separator/>
      </w:r>
    </w:p>
  </w:footnote>
  <w:footnote w:type="continuationSeparator" w:id="0">
    <w:p w:rsidR="00282141" w:rsidRDefault="0028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A7"/>
    <w:rsid w:val="002008A7"/>
    <w:rsid w:val="00282141"/>
    <w:rsid w:val="00521B36"/>
    <w:rsid w:val="00524F89"/>
    <w:rsid w:val="00577E1E"/>
    <w:rsid w:val="005A4C18"/>
    <w:rsid w:val="00690817"/>
    <w:rsid w:val="006D65DE"/>
    <w:rsid w:val="00B4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B1051-BC0E-4CF8-A141-67511732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</w:style>
  <w:style w:type="paragraph" w:styleId="Heading2">
    <w:name w:val="heading 2"/>
    <w:qFormat/>
    <w:pPr>
      <w:outlineLvl w:val="1"/>
    </w:pPr>
  </w:style>
  <w:style w:type="paragraph" w:styleId="Heading3">
    <w:name w:val="heading 3"/>
    <w:qFormat/>
    <w:pPr>
      <w:outlineLvl w:val="2"/>
    </w:pPr>
  </w:style>
  <w:style w:type="paragraph" w:styleId="Heading4">
    <w:name w:val="heading 4"/>
    <w:qFormat/>
    <w:pPr>
      <w:outlineLvl w:val="3"/>
    </w:pPr>
  </w:style>
  <w:style w:type="paragraph" w:styleId="Heading5">
    <w:name w:val="heading 5"/>
    <w:qFormat/>
    <w:pPr>
      <w:outlineLvl w:val="4"/>
    </w:pPr>
  </w:style>
  <w:style w:type="paragraph" w:styleId="Heading6">
    <w:name w:val="heading 6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</w:style>
  <w:style w:type="paragraph" w:customStyle="1" w:styleId="heading21">
    <w:name w:val="heading 21"/>
    <w:qFormat/>
  </w:style>
  <w:style w:type="paragraph" w:customStyle="1" w:styleId="heading31">
    <w:name w:val="heading 31"/>
    <w:qFormat/>
  </w:style>
  <w:style w:type="paragraph" w:customStyle="1" w:styleId="heading41">
    <w:name w:val="heading 41"/>
    <w:qFormat/>
  </w:style>
  <w:style w:type="paragraph" w:customStyle="1" w:styleId="heading51">
    <w:name w:val="heading 51"/>
    <w:qFormat/>
  </w:style>
  <w:style w:type="paragraph" w:customStyle="1" w:styleId="heading61">
    <w:name w:val="heading 61"/>
    <w:qFormat/>
  </w:style>
  <w:style w:type="paragraph" w:styleId="Header">
    <w:name w:val="header"/>
    <w:basedOn w:val="Normal"/>
    <w:link w:val="HeaderChar"/>
    <w:uiPriority w:val="99"/>
    <w:unhideWhenUsed/>
    <w:rsid w:val="006D65D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5DE"/>
  </w:style>
  <w:style w:type="paragraph" w:styleId="Footer">
    <w:name w:val="footer"/>
    <w:basedOn w:val="Normal"/>
    <w:link w:val="FooterChar"/>
    <w:uiPriority w:val="99"/>
    <w:unhideWhenUsed/>
    <w:rsid w:val="006D65D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Величка Влахова</dc:creator>
  <cp:lastModifiedBy>Ganka</cp:lastModifiedBy>
  <cp:revision>2</cp:revision>
  <dcterms:created xsi:type="dcterms:W3CDTF">2022-08-17T06:33:00Z</dcterms:created>
  <dcterms:modified xsi:type="dcterms:W3CDTF">2022-08-17T06:33:00Z</dcterms:modified>
  <cp:contentStatus>Created by the \'abHTML to RTF .Net\'bb 7.4.4.30</cp:contentStatus>
</cp:coreProperties>
</file>