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46B1" w14:textId="77777777" w:rsidR="00683115" w:rsidRPr="00683115" w:rsidRDefault="00683115" w:rsidP="00683115">
      <w:pPr>
        <w:jc w:val="center"/>
        <w:rPr>
          <w:lang w:val="bg-BG"/>
        </w:rPr>
      </w:pPr>
      <w:r w:rsidRPr="00683115">
        <w:rPr>
          <w:lang w:val="bg-BG"/>
        </w:rPr>
        <w:t>Декларация за съответствие на Договор с оператор/собственик за УППЛГ на ВС по Част-</w:t>
      </w:r>
      <w:r w:rsidRPr="00683115">
        <w:t>ML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274"/>
        <w:gridCol w:w="1687"/>
        <w:gridCol w:w="1800"/>
        <w:gridCol w:w="450"/>
        <w:gridCol w:w="270"/>
        <w:gridCol w:w="812"/>
        <w:gridCol w:w="275"/>
        <w:gridCol w:w="8"/>
        <w:gridCol w:w="345"/>
        <w:gridCol w:w="360"/>
        <w:gridCol w:w="1711"/>
        <w:gridCol w:w="8"/>
      </w:tblGrid>
      <w:tr w:rsidR="00683115" w:rsidRPr="00BC2782" w14:paraId="7FFEEFAA" w14:textId="77777777" w:rsidTr="00683115">
        <w:trPr>
          <w:jc w:val="center"/>
        </w:trPr>
        <w:tc>
          <w:tcPr>
            <w:tcW w:w="10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B9E8" w14:textId="77777777" w:rsidR="00683115" w:rsidRPr="001459C8" w:rsidRDefault="00683115" w:rsidP="00072C9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:lang w:val="bg-BG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ДЕКЛАРАЦИЯ ЗА СЪОТВЕТСТВИЕ НА ДОГОВОР ЗА УПРАВЛЕНИЕ НА ПОДДЪРЖАНЕТО НА ПОСТОЯННА ЛЕТАТЕЛНА ГОДНОСТ</w:t>
            </w: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:lang w:val="bg-BG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НА ВС ПО ЧАСТ-</w:t>
            </w: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ML</w:t>
            </w:r>
          </w:p>
        </w:tc>
      </w:tr>
      <w:tr w:rsidR="00683115" w:rsidRPr="00BC2782" w14:paraId="0F267A28" w14:textId="77777777" w:rsidTr="00683115">
        <w:trPr>
          <w:trHeight w:val="27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3D4CA8" w14:textId="77777777" w:rsidR="00683115" w:rsidRPr="00BC2782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C2782"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  <w:t xml:space="preserve">Организация:   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2CBA2" w14:textId="77777777" w:rsidR="00683115" w:rsidRPr="00BC2782" w:rsidRDefault="00683115" w:rsidP="00072C93">
            <w:pPr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AD068" w14:textId="77777777" w:rsidR="00683115" w:rsidRPr="00BC2782" w:rsidRDefault="00683115" w:rsidP="00072C93">
            <w:pPr>
              <w:ind w:left="-233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C2782">
              <w:rPr>
                <w:rFonts w:ascii="Arial" w:hAnsi="Arial" w:cs="Arial"/>
                <w:sz w:val="18"/>
                <w:szCs w:val="18"/>
                <w:lang w:val="bg-BG"/>
              </w:rPr>
              <w:t>Договор №/дата: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F55B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83115" w:rsidRPr="00BC2782" w14:paraId="7CCE599C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8F8B1" w14:textId="77777777" w:rsidR="00683115" w:rsidRPr="00BC2782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  <w:t>Референтен №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5EE" w14:textId="77777777" w:rsidR="00683115" w:rsidRPr="00BC2782" w:rsidRDefault="00683115" w:rsidP="00072C93">
            <w:pPr>
              <w:ind w:firstLine="108"/>
              <w:jc w:val="both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F3B6F5" w14:textId="77777777" w:rsidR="00683115" w:rsidRPr="00BC2782" w:rsidRDefault="00683115" w:rsidP="00072C93">
            <w:pPr>
              <w:ind w:firstLine="10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BC2782">
              <w:rPr>
                <w:rFonts w:ascii="Arial" w:hAnsi="Arial" w:cs="Arial"/>
                <w:sz w:val="18"/>
                <w:szCs w:val="18"/>
                <w:lang w:val="bg-BG" w:eastAsia="bg-BG"/>
              </w:rPr>
              <w:t>Типове ВС: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105" w14:textId="77777777" w:rsidR="00683115" w:rsidRPr="00BC2782" w:rsidRDefault="00683115" w:rsidP="00072C93">
            <w:pPr>
              <w:ind w:left="-70" w:right="-141" w:firstLine="108"/>
              <w:jc w:val="center"/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</w:pPr>
          </w:p>
        </w:tc>
      </w:tr>
      <w:tr w:rsidR="00683115" w:rsidRPr="00BC2782" w14:paraId="34CB2D19" w14:textId="77777777" w:rsidTr="00683115">
        <w:trPr>
          <w:trHeight w:val="271"/>
          <w:jc w:val="center"/>
        </w:trPr>
        <w:tc>
          <w:tcPr>
            <w:tcW w:w="1695" w:type="dxa"/>
            <w:tcBorders>
              <w:right w:val="nil"/>
            </w:tcBorders>
            <w:shd w:val="clear" w:color="auto" w:fill="auto"/>
            <w:vAlign w:val="center"/>
          </w:tcPr>
          <w:p w14:paraId="1350ABFD" w14:textId="77777777" w:rsidR="00683115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Собственик/</w:t>
            </w:r>
          </w:p>
          <w:p w14:paraId="18E2B532" w14:textId="77777777" w:rsidR="00683115" w:rsidRPr="00BC2782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оператор</w:t>
            </w:r>
            <w:r w:rsidRPr="00BC2782">
              <w:rPr>
                <w:rFonts w:ascii="Arial" w:hAnsi="Arial" w:cs="Arial"/>
                <w:sz w:val="18"/>
                <w:szCs w:val="18"/>
                <w:lang w:val="bg-BG"/>
              </w:rPr>
              <w:t>:</w:t>
            </w:r>
          </w:p>
        </w:tc>
        <w:tc>
          <w:tcPr>
            <w:tcW w:w="476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C4E000D" w14:textId="77777777" w:rsidR="00683115" w:rsidRPr="00BC2782" w:rsidRDefault="00683115" w:rsidP="00072C93">
            <w:pPr>
              <w:ind w:right="-108" w:firstLine="108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32" w:type="dxa"/>
            <w:gridSpan w:val="3"/>
            <w:tcBorders>
              <w:right w:val="nil"/>
            </w:tcBorders>
          </w:tcPr>
          <w:p w14:paraId="6764D819" w14:textId="77777777" w:rsidR="00683115" w:rsidRPr="00BC2782" w:rsidRDefault="00683115" w:rsidP="00072C93">
            <w:pPr>
              <w:ind w:left="-233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C2782">
              <w:rPr>
                <w:rFonts w:ascii="Arial" w:hAnsi="Arial" w:cs="Arial"/>
                <w:sz w:val="18"/>
                <w:szCs w:val="18"/>
                <w:lang w:val="bg-BG"/>
              </w:rPr>
              <w:t>Рег. Знаци:</w:t>
            </w:r>
          </w:p>
        </w:tc>
        <w:tc>
          <w:tcPr>
            <w:tcW w:w="2707" w:type="dxa"/>
            <w:gridSpan w:val="6"/>
            <w:tcBorders>
              <w:left w:val="nil"/>
            </w:tcBorders>
          </w:tcPr>
          <w:p w14:paraId="22C32E12" w14:textId="77777777" w:rsidR="00683115" w:rsidRPr="00BC2782" w:rsidRDefault="00683115" w:rsidP="00072C93">
            <w:pPr>
              <w:ind w:firstLine="108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83115" w:rsidRPr="00BC2782" w14:paraId="5E0CB523" w14:textId="77777777" w:rsidTr="00683115">
        <w:trPr>
          <w:jc w:val="center"/>
        </w:trPr>
        <w:tc>
          <w:tcPr>
            <w:tcW w:w="4656" w:type="dxa"/>
            <w:gridSpan w:val="3"/>
            <w:vMerge w:val="restart"/>
            <w:shd w:val="clear" w:color="auto" w:fill="auto"/>
            <w:vAlign w:val="center"/>
          </w:tcPr>
          <w:p w14:paraId="718DF9A3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описание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EAECF15" w14:textId="77777777" w:rsidR="00683115" w:rsidRPr="00BC2782" w:rsidRDefault="00683115" w:rsidP="00072C9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изискване</w:t>
            </w:r>
          </w:p>
        </w:tc>
        <w:tc>
          <w:tcPr>
            <w:tcW w:w="1815" w:type="dxa"/>
            <w:gridSpan w:val="5"/>
          </w:tcPr>
          <w:p w14:paraId="434B55FC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 xml:space="preserve">Попълва се от 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СМАО</w:t>
            </w:r>
          </w:p>
        </w:tc>
        <w:tc>
          <w:tcPr>
            <w:tcW w:w="2424" w:type="dxa"/>
            <w:gridSpan w:val="4"/>
          </w:tcPr>
          <w:p w14:paraId="3C2E7A0A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Попълва се от ГД ГВА</w:t>
            </w:r>
          </w:p>
        </w:tc>
      </w:tr>
      <w:tr w:rsidR="00683115" w:rsidRPr="00BC2782" w14:paraId="6A4AB88F" w14:textId="77777777" w:rsidTr="00683115">
        <w:trPr>
          <w:jc w:val="center"/>
        </w:trPr>
        <w:tc>
          <w:tcPr>
            <w:tcW w:w="4656" w:type="dxa"/>
            <w:gridSpan w:val="3"/>
            <w:vMerge/>
            <w:shd w:val="clear" w:color="auto" w:fill="auto"/>
            <w:vAlign w:val="center"/>
          </w:tcPr>
          <w:p w14:paraId="288DE1F3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621DFC5" w14:textId="77777777" w:rsidR="00683115" w:rsidRPr="00BC2782" w:rsidRDefault="00683115" w:rsidP="00072C9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15" w:type="dxa"/>
            <w:gridSpan w:val="5"/>
            <w:vMerge w:val="restart"/>
          </w:tcPr>
          <w:p w14:paraId="3C92871F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C2782">
              <w:rPr>
                <w:rFonts w:ascii="Arial" w:hAnsi="Arial" w:cs="Arial"/>
                <w:sz w:val="12"/>
                <w:szCs w:val="12"/>
                <w:lang w:val="bg-BG"/>
              </w:rPr>
              <w:t>Част, глава от Договора</w:t>
            </w:r>
          </w:p>
          <w:p w14:paraId="5C568215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C2782">
              <w:rPr>
                <w:rFonts w:ascii="Arial" w:hAnsi="Arial" w:cs="Arial"/>
                <w:sz w:val="12"/>
                <w:szCs w:val="12"/>
                <w:lang w:val="bg-BG"/>
              </w:rPr>
              <w:t>Форма, образец, процедура и т.н.</w:t>
            </w:r>
          </w:p>
        </w:tc>
        <w:tc>
          <w:tcPr>
            <w:tcW w:w="705" w:type="dxa"/>
            <w:gridSpan w:val="2"/>
            <w:vAlign w:val="center"/>
          </w:tcPr>
          <w:p w14:paraId="7DC946F4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C2782">
              <w:rPr>
                <w:rFonts w:ascii="Arial" w:hAnsi="Arial" w:cs="Arial"/>
                <w:sz w:val="12"/>
                <w:szCs w:val="12"/>
                <w:lang w:val="bg-BG"/>
              </w:rPr>
              <w:t>съответствие</w:t>
            </w:r>
          </w:p>
        </w:tc>
        <w:tc>
          <w:tcPr>
            <w:tcW w:w="1719" w:type="dxa"/>
            <w:gridSpan w:val="2"/>
            <w:vMerge w:val="restart"/>
          </w:tcPr>
          <w:p w14:paraId="2DB3EAFD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A51C3B1" w14:textId="77777777" w:rsidTr="00683115">
        <w:trPr>
          <w:trHeight w:val="127"/>
          <w:jc w:val="center"/>
        </w:trPr>
        <w:tc>
          <w:tcPr>
            <w:tcW w:w="4656" w:type="dxa"/>
            <w:gridSpan w:val="3"/>
            <w:vMerge/>
            <w:shd w:val="clear" w:color="auto" w:fill="auto"/>
            <w:vAlign w:val="center"/>
          </w:tcPr>
          <w:p w14:paraId="4F973F2F" w14:textId="77777777" w:rsidR="00683115" w:rsidRPr="00BC2782" w:rsidRDefault="00683115" w:rsidP="00072C93">
            <w:pPr>
              <w:ind w:firstLine="709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85FC3DD" w14:textId="77777777" w:rsidR="00683115" w:rsidRPr="00BC2782" w:rsidRDefault="00683115" w:rsidP="00072C9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15" w:type="dxa"/>
            <w:gridSpan w:val="5"/>
            <w:vMerge/>
          </w:tcPr>
          <w:p w14:paraId="0CE9F4AB" w14:textId="77777777" w:rsidR="00683115" w:rsidRPr="00BC2782" w:rsidRDefault="00683115" w:rsidP="00072C93">
            <w:pPr>
              <w:ind w:left="-53" w:right="-159" w:firstLine="709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45" w:type="dxa"/>
            <w:vAlign w:val="center"/>
          </w:tcPr>
          <w:p w14:paraId="065BEF82" w14:textId="77777777" w:rsidR="00683115" w:rsidRPr="00BC2782" w:rsidRDefault="00683115" w:rsidP="00072C93">
            <w:pPr>
              <w:ind w:left="-53" w:right="-159" w:firstLine="2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ДА</w:t>
            </w:r>
          </w:p>
        </w:tc>
        <w:tc>
          <w:tcPr>
            <w:tcW w:w="360" w:type="dxa"/>
            <w:vAlign w:val="center"/>
          </w:tcPr>
          <w:p w14:paraId="10000839" w14:textId="77777777" w:rsidR="00683115" w:rsidRPr="00BC2782" w:rsidRDefault="00683115" w:rsidP="00072C93">
            <w:pPr>
              <w:ind w:left="-57" w:right="-146" w:hanging="51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19" w:type="dxa"/>
            <w:gridSpan w:val="2"/>
            <w:vMerge/>
          </w:tcPr>
          <w:p w14:paraId="6C483CCF" w14:textId="77777777" w:rsidR="00683115" w:rsidRPr="00BC2782" w:rsidRDefault="00683115" w:rsidP="00072C93">
            <w:pPr>
              <w:ind w:firstLine="709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1C9086EE" w14:textId="77777777" w:rsidTr="00683115">
        <w:trPr>
          <w:gridAfter w:val="1"/>
          <w:wAfter w:w="8" w:type="dxa"/>
          <w:trHeight w:val="175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1DCD25C2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Обща информация</w:t>
            </w:r>
          </w:p>
        </w:tc>
        <w:tc>
          <w:tcPr>
            <w:tcW w:w="1800" w:type="dxa"/>
            <w:shd w:val="clear" w:color="auto" w:fill="D9D9D9"/>
          </w:tcPr>
          <w:p w14:paraId="622E4FC0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I (с) 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</w:t>
            </w: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) </w:t>
            </w:r>
          </w:p>
        </w:tc>
        <w:tc>
          <w:tcPr>
            <w:tcW w:w="1807" w:type="dxa"/>
            <w:gridSpan w:val="4"/>
            <w:shd w:val="clear" w:color="auto" w:fill="D9D9D9"/>
          </w:tcPr>
          <w:p w14:paraId="25B6758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shd w:val="clear" w:color="auto" w:fill="D9D9D9"/>
          </w:tcPr>
          <w:p w14:paraId="63C6C04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</w:tcPr>
          <w:p w14:paraId="5ACAA17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2AA1CF0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EBDE564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F951932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регистрационен номер, тип и сериен номер на въздухоплавателното средство</w:t>
            </w:r>
          </w:p>
        </w:tc>
        <w:tc>
          <w:tcPr>
            <w:tcW w:w="1800" w:type="dxa"/>
            <w:shd w:val="clear" w:color="auto" w:fill="auto"/>
          </w:tcPr>
          <w:p w14:paraId="45F490F8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(1)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526A530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4004B0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A4BEFD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E3CD4D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3A5B1D3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6160A64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име на собственика или лизингополучателя на въздухоплавателното средство или данни за дружеството, включително адрес</w:t>
            </w:r>
          </w:p>
        </w:tc>
        <w:tc>
          <w:tcPr>
            <w:tcW w:w="1800" w:type="dxa"/>
            <w:shd w:val="clear" w:color="auto" w:fill="auto"/>
          </w:tcPr>
          <w:p w14:paraId="669968BB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(2)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2653B5F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477702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516A2A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06B68F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7048B37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6A3E88E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  <w:p w14:paraId="391D87EC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данни за CAMO, с която е сключен договор, включително адрес</w:t>
            </w:r>
          </w:p>
        </w:tc>
        <w:tc>
          <w:tcPr>
            <w:tcW w:w="1800" w:type="dxa"/>
            <w:shd w:val="clear" w:color="auto" w:fill="auto"/>
          </w:tcPr>
          <w:p w14:paraId="3CF437A2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(3)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000725F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D47F54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C98A2D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46AD077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9F10D54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45DAA28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вида на операцията</w:t>
            </w:r>
          </w:p>
        </w:tc>
        <w:tc>
          <w:tcPr>
            <w:tcW w:w="1800" w:type="dxa"/>
            <w:shd w:val="clear" w:color="auto" w:fill="auto"/>
          </w:tcPr>
          <w:p w14:paraId="185566AC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(4)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1F50996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21A7BE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D104B8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52F12C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149D782" w14:textId="77777777" w:rsidTr="00683115">
        <w:trPr>
          <w:gridAfter w:val="1"/>
          <w:wAfter w:w="8" w:type="dxa"/>
          <w:trHeight w:val="300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1F9914AD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eastAsia="bg-BG"/>
              </w:rPr>
            </w:pPr>
            <w:r w:rsidRPr="00351EC9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Декларация</w:t>
            </w:r>
          </w:p>
        </w:tc>
        <w:tc>
          <w:tcPr>
            <w:tcW w:w="1800" w:type="dxa"/>
            <w:shd w:val="clear" w:color="auto" w:fill="D9D9D9"/>
          </w:tcPr>
          <w:p w14:paraId="4EBAFD6C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I 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d) to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</w:t>
            </w: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) </w:t>
            </w:r>
          </w:p>
        </w:tc>
        <w:tc>
          <w:tcPr>
            <w:tcW w:w="1807" w:type="dxa"/>
            <w:gridSpan w:val="4"/>
            <w:shd w:val="clear" w:color="auto" w:fill="D9D9D9"/>
          </w:tcPr>
          <w:p w14:paraId="76990A7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shd w:val="clear" w:color="auto" w:fill="D9D9D9"/>
          </w:tcPr>
          <w:p w14:paraId="6834AA6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</w:tcPr>
          <w:p w14:paraId="477A7D2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411FF01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2A3D881" w14:textId="77777777" w:rsidTr="00683115">
        <w:trPr>
          <w:gridAfter w:val="1"/>
          <w:wAfter w:w="8" w:type="dxa"/>
          <w:trHeight w:val="409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8DD3819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Собственикът поверява на CAMO управлението на поддържането на летателната годност на въздухоплавателното средство, разработването и одобрението на програма за техническо обслужване и организирането на техническото обслужване на въздухоплавателното средство в съответствие с посочената програма за техническо обслужване..</w:t>
            </w:r>
          </w:p>
        </w:tc>
        <w:tc>
          <w:tcPr>
            <w:tcW w:w="1800" w:type="dxa"/>
            <w:shd w:val="clear" w:color="auto" w:fill="auto"/>
          </w:tcPr>
          <w:p w14:paraId="29BDCE75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71A6266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E1BE89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FB7B14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5185C9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0DA3F4B" w14:textId="77777777" w:rsidTr="00683115">
        <w:trPr>
          <w:gridAfter w:val="1"/>
          <w:wAfter w:w="8" w:type="dxa"/>
          <w:trHeight w:val="43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2B59EAF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По силата на настоящия договор двете подписали го страни се задължават да спазват съответните произтичащи от него задължения</w:t>
            </w:r>
          </w:p>
        </w:tc>
        <w:tc>
          <w:tcPr>
            <w:tcW w:w="1800" w:type="dxa"/>
            <w:shd w:val="clear" w:color="auto" w:fill="auto"/>
          </w:tcPr>
          <w:p w14:paraId="1C9586E7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2F6511E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36C976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07F9CF2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58D82A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31A3B97" w14:textId="77777777" w:rsidTr="00683115">
        <w:trPr>
          <w:gridAfter w:val="1"/>
          <w:wAfter w:w="8" w:type="dxa"/>
          <w:trHeight w:val="43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FBB1F65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Собственикът декларира, че доколкото му е известно, цялата информация, предоставена на CAMO по отношение на поддържането на летателната годност на въздухоплавателното средство, е и ще бъде точна, както и че въздухоплавателното средство няма да бъде променяно без предварителното одобрение на CAMO </w:t>
            </w:r>
          </w:p>
        </w:tc>
        <w:tc>
          <w:tcPr>
            <w:tcW w:w="1800" w:type="dxa"/>
            <w:shd w:val="clear" w:color="auto" w:fill="auto"/>
          </w:tcPr>
          <w:p w14:paraId="48B06F56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33AC03A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9149CC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6CF048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EECF25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EC0747B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06CE1FA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При неспазване на настоящия договор от някоя от подписалите го страни той става невалиден. В този случай собственикът запазва пълната отговорност за всяка задача, свързана с поддържането на летателната годност на въздухоплавателното средство, като в срок от 2 седмици собственикът уведомява компетентния орган (компетентните органи) в държавата членка на регистрация относно прекратяването на договора</w:t>
            </w:r>
          </w:p>
        </w:tc>
        <w:tc>
          <w:tcPr>
            <w:tcW w:w="1800" w:type="dxa"/>
            <w:shd w:val="clear" w:color="auto" w:fill="auto"/>
          </w:tcPr>
          <w:p w14:paraId="4C2610A8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6B59D8E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0E2973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FCF101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5A8FB6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EF77C6E" w14:textId="77777777" w:rsidTr="00683115">
        <w:trPr>
          <w:gridAfter w:val="1"/>
          <w:wAfter w:w="8" w:type="dxa"/>
          <w:trHeight w:val="319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78416E05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Задължения на С</w:t>
            </w:r>
            <w:r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М</w:t>
            </w:r>
            <w:r w:rsidRPr="00351EC9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АО</w:t>
            </w:r>
          </w:p>
        </w:tc>
        <w:tc>
          <w:tcPr>
            <w:tcW w:w="1800" w:type="dxa"/>
            <w:shd w:val="clear" w:color="auto" w:fill="D9D9D9"/>
          </w:tcPr>
          <w:p w14:paraId="01269FC5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to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</w:t>
            </w: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) </w:t>
            </w:r>
          </w:p>
        </w:tc>
        <w:tc>
          <w:tcPr>
            <w:tcW w:w="1807" w:type="dxa"/>
            <w:gridSpan w:val="4"/>
            <w:shd w:val="clear" w:color="auto" w:fill="D9D9D9"/>
          </w:tcPr>
          <w:p w14:paraId="41CBF60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shd w:val="clear" w:color="auto" w:fill="D9D9D9"/>
          </w:tcPr>
          <w:p w14:paraId="48AB0E0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</w:tcPr>
          <w:p w14:paraId="654584B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37017BC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0B02D4B" w14:textId="77777777" w:rsidTr="00683115">
        <w:trPr>
          <w:gridAfter w:val="1"/>
          <w:wAfter w:w="8" w:type="dxa"/>
          <w:trHeight w:val="301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76D65B3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ипът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условията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нейното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0AE3406C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4B2B322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32F972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3C6613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4C8DA2E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EF5E903" w14:textId="77777777" w:rsidTr="00683115">
        <w:trPr>
          <w:gridAfter w:val="1"/>
          <w:wAfter w:w="8" w:type="dxa"/>
          <w:trHeight w:val="25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1C6963A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спазва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всички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изброени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по-долу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условия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във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връзка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поддържането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годност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­ </w:t>
            </w:r>
            <w:proofErr w:type="spellStart"/>
            <w:proofErr w:type="gramStart"/>
            <w:r w:rsidRPr="00351EC9">
              <w:rPr>
                <w:rFonts w:ascii="Arial" w:hAnsi="Arial" w:cs="Arial"/>
                <w:sz w:val="16"/>
                <w:szCs w:val="16"/>
              </w:rPr>
              <w:t>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proofErr w:type="gramEnd"/>
            <w:r w:rsidRPr="00351EC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2A7DEBD7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3BCD567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F7C133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5FAE17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4A8E8C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33D9B54" w14:textId="77777777" w:rsidTr="00683115">
        <w:trPr>
          <w:gridAfter w:val="1"/>
          <w:wAfter w:w="8" w:type="dxa"/>
          <w:trHeight w:val="209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AF8FB11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разработи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програма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3CC4B95B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(A)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6207AD6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B941DF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C4F37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5FE98E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2C0FC21" w14:textId="77777777" w:rsidTr="00683115">
        <w:trPr>
          <w:gridAfter w:val="1"/>
          <w:wAfter w:w="8" w:type="dxa"/>
          <w:trHeight w:val="31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D7CE08D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предостави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собственика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копие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програмата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след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като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програмата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бъде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както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копие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обосновката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всяко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отклонение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препоръките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притежателя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одобрението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проект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5ABF3E96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(B)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5D0F7A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CB8ADF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03F775F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4774467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8F505F6" w14:textId="77777777" w:rsidTr="00683115">
        <w:trPr>
          <w:gridAfter w:val="1"/>
          <w:wAfter w:w="8" w:type="dxa"/>
          <w:trHeight w:val="265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0956C35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51EC9">
              <w:rPr>
                <w:rFonts w:ascii="Arial" w:hAnsi="Arial" w:cs="Arial"/>
                <w:sz w:val="16"/>
                <w:szCs w:val="16"/>
              </w:rPr>
              <w:t>организира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проверка</w:t>
            </w:r>
            <w:proofErr w:type="spellEnd"/>
            <w:proofErr w:type="gram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позволи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плавен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преход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предишната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програма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EC9">
              <w:rPr>
                <w:rFonts w:ascii="Arial" w:hAnsi="Arial" w:cs="Arial"/>
                <w:sz w:val="16"/>
                <w:szCs w:val="16"/>
                <w:lang w:val="bg-BG"/>
              </w:rPr>
              <w:t>обслужване на ВС</w:t>
            </w:r>
          </w:p>
        </w:tc>
        <w:tc>
          <w:tcPr>
            <w:tcW w:w="1800" w:type="dxa"/>
            <w:shd w:val="clear" w:color="auto" w:fill="auto"/>
          </w:tcPr>
          <w:p w14:paraId="0F650E84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(C)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2EA889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A86C9E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FFC232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6DD0AD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F7126D0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AF288E2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извършването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цялото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ако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това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разрешено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независим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персонал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отговарящ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сертифицирането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357A09C3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(D)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5D5588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4B11E7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19EA674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089543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FD8C7FD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2EAC90F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прилагането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всички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подходящи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указания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годност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343039F0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92B7ED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4AD98A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2C53DD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3E33E4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3BFA045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A7D1677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отстраняването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ако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това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разрешено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независим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персонал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отговарящ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сертифицирането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всички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дефекти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открити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време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lastRenderedPageBreak/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прегледи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годност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докладвани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собственика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2BD3C01A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lastRenderedPageBreak/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(F)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57D7C6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A1BAA1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259AA5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4E8D85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0FA81EC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9747925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51EC9">
              <w:rPr>
                <w:rFonts w:ascii="Arial" w:hAnsi="Arial" w:cs="Arial"/>
                <w:sz w:val="16"/>
                <w:szCs w:val="16"/>
              </w:rPr>
              <w:t>прилагането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proofErr w:type="gramEnd"/>
            <w:r w:rsidRPr="00351E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указанията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годност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  <w:lang w:val="bg-BG"/>
              </w:rPr>
              <w:t>,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замяната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частите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ограничен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срок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експлоатация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изискванията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проверка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компонентите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                                 </w:t>
            </w:r>
          </w:p>
        </w:tc>
        <w:tc>
          <w:tcPr>
            <w:tcW w:w="1800" w:type="dxa"/>
            <w:shd w:val="clear" w:color="auto" w:fill="auto"/>
          </w:tcPr>
          <w:p w14:paraId="2458408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(G)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68AF7A5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EF44D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D3B794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DA7948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5809877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5570403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собственика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всеки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път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когато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трябва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предаде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ако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това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разрешено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независим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персонал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отговарящ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сертифицирането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5641D9A7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(H)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747D17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93B3DA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0B9532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0B832C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331507C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165F276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управлява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архивира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цялата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документация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0F135B8F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4AC236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AD66DC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F3E127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B57D27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735150E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5E95C45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одобрението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всяка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модификация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съответствие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приложение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към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Регламент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(ЕС) № 748/2012 (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част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21),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преди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бъде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въведена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548597E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420AA9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143E505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59D8E8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872626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B5B53CB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A7590A1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организира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одобрението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всеки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ремонт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съответствие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приложение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към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Регламент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(ЕС) № 748/2012 (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част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21),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преди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той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бъде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извършен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7B3A4275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51477C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D437E6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15449D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9A0DD6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210922D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9AA919A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компетентния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държавата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членка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регистрация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когато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собственикът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въздухоплава</w:t>
            </w:r>
            <w:r w:rsidRPr="00351EC9">
              <w:rPr>
                <w:rFonts w:ascii="Arial" w:hAnsi="Arial" w:cs="Arial"/>
                <w:sz w:val="16"/>
                <w:szCs w:val="16"/>
              </w:rPr>
              <w:t>телно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g-BG"/>
              </w:rPr>
              <w:t>-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представил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съгласно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изискванията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0FA0885B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1C9BC28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1E81B89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19337A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7CA970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5AA6214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0C4AFC1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компетентния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държавата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членка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регистрация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когато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настоящият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спазва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149725B4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58E32C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3B3EA6B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D8F89D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6A727B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A4F897F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4817C9F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осигури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извършването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преглед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годност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когато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необходимо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и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осигури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издаването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удостоверение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преглед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годност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6696B40E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E86643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4BE5CE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5FDFC9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BD08A1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FE5A3E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85ABCDB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срок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10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дни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изпрати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компетентния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държавата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членка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регистрация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копие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всяко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издадено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удължено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удостоверение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преглед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годност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0C0BF0BC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411F013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D7F49B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73ADE8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878732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80AA743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7CE0334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докладва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събития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както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указано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съответните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регламентиращи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документи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555DA866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51227F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49449E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7E429F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729C22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060E25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BBFA5A9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компетентния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държавата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членка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регистрация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случай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една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страните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денонсира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настоящия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2430295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FC7053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11EF46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B92F7D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03A1C6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8D1813B" w14:textId="77777777" w:rsidTr="00683115">
        <w:trPr>
          <w:gridAfter w:val="1"/>
          <w:wAfter w:w="8" w:type="dxa"/>
          <w:trHeight w:val="255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7FD87A59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Задължения на собственика</w:t>
            </w:r>
          </w:p>
        </w:tc>
        <w:tc>
          <w:tcPr>
            <w:tcW w:w="1800" w:type="dxa"/>
            <w:shd w:val="clear" w:color="auto" w:fill="D9D9D9"/>
          </w:tcPr>
          <w:p w14:paraId="2EDA9880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193D32" w14:textId="77777777" w:rsidR="00683115" w:rsidRPr="00BC2782" w:rsidRDefault="00683115" w:rsidP="00072C93">
            <w:pPr>
              <w:ind w:left="-233" w:right="-237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4D60B5" w14:textId="77777777" w:rsidR="00683115" w:rsidRPr="00BC2782" w:rsidRDefault="00683115" w:rsidP="00072C93">
            <w:pPr>
              <w:ind w:left="-233" w:right="-237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  <w:vAlign w:val="center"/>
          </w:tcPr>
          <w:p w14:paraId="1583ECC7" w14:textId="77777777" w:rsidR="00683115" w:rsidRPr="00BC2782" w:rsidRDefault="00683115" w:rsidP="00072C93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011F4CCA" w14:textId="77777777" w:rsidR="00683115" w:rsidRPr="00BC2782" w:rsidRDefault="00683115" w:rsidP="00072C93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310A7E4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8576F7B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) 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запознат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програмата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1D5C85C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1842AE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66F6DD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BD5F25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9BDD7E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9DA91A2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10589AE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ii)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запознат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настоящото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приложение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5C7FA65C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81E029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2556B2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1FBFE3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B54A8B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2B65E8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111E392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iii)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представи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съгласно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инструкциите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36542B49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560D61C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A6D6D2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3016B2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87885E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1811CCE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4955A9A0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iv)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модифицира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без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първо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консултирал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765942A0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595DFCB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5B4FDC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0B789A7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CCA21D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679EBE7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13AF3A9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v)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всяко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изключение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било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извършено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без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знанието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контрола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3DA278A8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1CFB8BD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930838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532DCB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B4AFA8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84A1DC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E5BD51C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vi)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чрез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дневника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докладва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всички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дефекти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открити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време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експлоатацията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140B64FF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142E4B9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F1718E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4242EF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B2A7EA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5792906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E65CD02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vii)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компетентния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държавата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членка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регистрация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случай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една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страните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денонсира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настоящия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2276C4E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416BCF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FF1C02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865104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82F310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554A3B8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4277D3C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viii)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компетентния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орган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държавата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членка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регистрация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и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случай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бъде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продадено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49FC2729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69772AD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1BB4010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39851D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5889F5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430EF1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B1993A6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ix)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докладва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събития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както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указано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съответните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регламентиращи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документи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7F421DEB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682BFA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1001AB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C0D307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1097DE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0269DE0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451718A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x)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редовно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летателните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часове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въздухоплава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­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телното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средство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ѝ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съобщава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други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данни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използването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както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с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237DA4B5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6248AF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2F4366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DD8770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45BC87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25F3328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48384FF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xi) 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вписва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дневниците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удостоверението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допускане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експлоатация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както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посочено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точка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ML.A.803,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буква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в),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когато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извършва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пилота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собственик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749216AE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37D0EB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FAA65E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171476E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722854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7817F42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93A5AE0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xii)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информира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O, с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която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сключен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договор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срок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30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дни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след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завършване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всяка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задача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техническото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обслужване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пилота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1EC9">
              <w:rPr>
                <w:rFonts w:ascii="Arial" w:hAnsi="Arial" w:cs="Arial"/>
                <w:sz w:val="16"/>
                <w:szCs w:val="16"/>
              </w:rPr>
              <w:t>собственик</w:t>
            </w:r>
            <w:proofErr w:type="spellEnd"/>
            <w:r w:rsidRPr="00351EC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EBD18F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772C0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83D844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B08EA1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00A559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EC85D3C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2969" w:type="dxa"/>
            <w:gridSpan w:val="2"/>
            <w:tcBorders>
              <w:top w:val="nil"/>
              <w:bottom w:val="nil"/>
              <w:right w:val="nil"/>
            </w:tcBorders>
          </w:tcPr>
          <w:p w14:paraId="0DFBC9D1" w14:textId="77777777" w:rsidR="00683115" w:rsidRPr="00BC2782" w:rsidRDefault="00683115" w:rsidP="00072C93">
            <w:pPr>
              <w:ind w:firstLine="709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  <w:p w14:paraId="0F7A0B4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За и от името на организацията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06189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7AB970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28AA0C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  <w:p w14:paraId="55105637" w14:textId="77777777" w:rsidR="00683115" w:rsidRPr="00BC2782" w:rsidRDefault="00683115" w:rsidP="00072C93">
            <w:pPr>
              <w:ind w:hanging="41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Проверено от ГД </w:t>
            </w: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ГВА отдел </w:t>
            </w:r>
            <w:r>
              <w:rPr>
                <w:rFonts w:ascii="Arial" w:hAnsi="Arial" w:cs="Arial"/>
                <w:sz w:val="16"/>
                <w:szCs w:val="16"/>
                <w:lang w:val="bg-BG" w:eastAsia="bg-BG"/>
              </w:rPr>
              <w:t>„</w:t>
            </w: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ЛГ</w:t>
            </w:r>
            <w:r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 на ГВС“</w:t>
            </w:r>
          </w:p>
        </w:tc>
      </w:tr>
      <w:tr w:rsidR="00683115" w:rsidRPr="00BC2782" w14:paraId="356DD05C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969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17ADBE29" w14:textId="77777777" w:rsidR="00683115" w:rsidRPr="00BC2782" w:rsidRDefault="00683115" w:rsidP="00072C93">
            <w:pPr>
              <w:ind w:hanging="4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Име: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4EC01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BEDCA5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E239090" w14:textId="77777777" w:rsidR="00683115" w:rsidRPr="00BC2782" w:rsidRDefault="00683115" w:rsidP="00072C93">
            <w:pPr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Име:</w:t>
            </w:r>
          </w:p>
        </w:tc>
      </w:tr>
      <w:tr w:rsidR="00683115" w:rsidRPr="00BC2782" w14:paraId="576ED41D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2969" w:type="dxa"/>
            <w:gridSpan w:val="2"/>
            <w:tcBorders>
              <w:bottom w:val="nil"/>
            </w:tcBorders>
          </w:tcPr>
          <w:p w14:paraId="50DF3090" w14:textId="77777777" w:rsidR="00683115" w:rsidRPr="00BC2782" w:rsidRDefault="00683115" w:rsidP="00072C93">
            <w:pPr>
              <w:ind w:hanging="4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Подпис:</w:t>
            </w:r>
          </w:p>
        </w:tc>
        <w:tc>
          <w:tcPr>
            <w:tcW w:w="3937" w:type="dxa"/>
            <w:gridSpan w:val="3"/>
            <w:tcBorders>
              <w:bottom w:val="nil"/>
            </w:tcBorders>
          </w:tcPr>
          <w:p w14:paraId="1D56E7AB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2A025F6B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bottom w:val="nil"/>
            </w:tcBorders>
          </w:tcPr>
          <w:p w14:paraId="38134C9C" w14:textId="77777777" w:rsidR="00683115" w:rsidRPr="00BC2782" w:rsidRDefault="00683115" w:rsidP="00072C93">
            <w:pPr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Подпис:</w:t>
            </w:r>
          </w:p>
        </w:tc>
      </w:tr>
      <w:tr w:rsidR="00683115" w:rsidRPr="00BC2782" w14:paraId="37C26347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969" w:type="dxa"/>
            <w:gridSpan w:val="2"/>
            <w:tcBorders>
              <w:top w:val="nil"/>
              <w:bottom w:val="nil"/>
              <w:right w:val="nil"/>
            </w:tcBorders>
          </w:tcPr>
          <w:p w14:paraId="51CC3566" w14:textId="77777777" w:rsidR="00683115" w:rsidRPr="00BC2782" w:rsidRDefault="00683115" w:rsidP="00072C93">
            <w:pPr>
              <w:ind w:hanging="4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Дата: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9743B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5CBDAC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E538D7" w14:textId="77777777" w:rsidR="00683115" w:rsidRPr="00BC2782" w:rsidRDefault="00683115" w:rsidP="00072C93">
            <w:pPr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Дата:</w:t>
            </w:r>
          </w:p>
        </w:tc>
      </w:tr>
    </w:tbl>
    <w:p w14:paraId="08B12050" w14:textId="77777777" w:rsidR="00212C57" w:rsidRPr="00683115" w:rsidRDefault="00212C57" w:rsidP="00683115"/>
    <w:sectPr w:rsidR="00212C57" w:rsidRPr="00683115" w:rsidSect="003C087B">
      <w:footerReference w:type="default" r:id="rId7"/>
      <w:pgSz w:w="11907" w:h="16839" w:code="9"/>
      <w:pgMar w:top="634" w:right="634" w:bottom="44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27A5" w14:textId="77777777" w:rsidR="00032108" w:rsidRDefault="00032108" w:rsidP="00683115">
      <w:r>
        <w:separator/>
      </w:r>
    </w:p>
  </w:endnote>
  <w:endnote w:type="continuationSeparator" w:id="0">
    <w:p w14:paraId="37C3BDE5" w14:textId="77777777" w:rsidR="00032108" w:rsidRDefault="00032108" w:rsidP="0068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F9BB" w14:textId="77777777" w:rsidR="00DA0DB9" w:rsidRDefault="00032108">
    <w:pPr>
      <w:pStyle w:val="Footer"/>
    </w:pPr>
  </w:p>
  <w:p w14:paraId="11685AEB" w14:textId="77777777" w:rsidR="00DA0DB9" w:rsidRDefault="000321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ED54" w14:textId="77777777" w:rsidR="00032108" w:rsidRDefault="00032108" w:rsidP="00683115">
      <w:r>
        <w:separator/>
      </w:r>
    </w:p>
  </w:footnote>
  <w:footnote w:type="continuationSeparator" w:id="0">
    <w:p w14:paraId="6729F65E" w14:textId="77777777" w:rsidR="00032108" w:rsidRDefault="00032108" w:rsidP="0068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A7A"/>
    <w:multiLevelType w:val="hybridMultilevel"/>
    <w:tmpl w:val="6890E77A"/>
    <w:lvl w:ilvl="0" w:tplc="C3B0DC5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72FDC"/>
    <w:multiLevelType w:val="hybridMultilevel"/>
    <w:tmpl w:val="E172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B"/>
    <w:rsid w:val="00032108"/>
    <w:rsid w:val="000D041B"/>
    <w:rsid w:val="000E41E4"/>
    <w:rsid w:val="00212C57"/>
    <w:rsid w:val="002E73DB"/>
    <w:rsid w:val="0035125E"/>
    <w:rsid w:val="003D01CE"/>
    <w:rsid w:val="00683115"/>
    <w:rsid w:val="0074563A"/>
    <w:rsid w:val="009C3458"/>
    <w:rsid w:val="00A63F50"/>
    <w:rsid w:val="00D05E5E"/>
    <w:rsid w:val="00D311AA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A02D"/>
  <w15:chartTrackingRefBased/>
  <w15:docId w15:val="{353C1453-B1F6-45FB-B5DF-2FE6E40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6831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3115"/>
  </w:style>
  <w:style w:type="paragraph" w:customStyle="1" w:styleId="Default">
    <w:name w:val="Default"/>
    <w:rsid w:val="00683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31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Petrov</dc:creator>
  <cp:keywords/>
  <dc:description/>
  <cp:lastModifiedBy>Filip Petrov</cp:lastModifiedBy>
  <cp:revision>12</cp:revision>
  <dcterms:created xsi:type="dcterms:W3CDTF">2021-04-18T20:04:00Z</dcterms:created>
  <dcterms:modified xsi:type="dcterms:W3CDTF">2021-04-18T21:37:00Z</dcterms:modified>
</cp:coreProperties>
</file>