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bookmarkStart w:id="0" w:name="_GoBack"/>
      <w:bookmarkEnd w:id="0"/>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w:t>
      </w:r>
      <w:r w:rsidR="004E7370" w:rsidRPr="004E7370">
        <w:rPr>
          <w:rFonts w:ascii="Times New Roman" w:eastAsia="Times New Roman" w:hAnsi="Times New Roman" w:cs="Times New Roman"/>
          <w:bCs/>
          <w:i/>
          <w:lang w:val="bg-BG"/>
        </w:rPr>
        <w:t xml:space="preserve">Заповед № РД-392/06.06.2017 г. </w:t>
      </w:r>
      <w:r w:rsidRPr="00832B51">
        <w:rPr>
          <w:rFonts w:ascii="Times New Roman" w:eastAsia="Times New Roman" w:hAnsi="Times New Roman" w:cs="Times New Roman"/>
          <w:bCs/>
          <w:i/>
          <w:lang w:val="bg-BG"/>
        </w:rPr>
        <w:t>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rPr>
      </w:pP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t xml:space="preserve">         </w:t>
      </w:r>
      <w:r w:rsidR="00CD040F">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sz w:val="24"/>
          <w:szCs w:val="24"/>
          <w:lang w:val="en-GB"/>
        </w:rPr>
        <w:t xml:space="preserve">   </w:t>
      </w:r>
      <w:r w:rsidRPr="00832B51">
        <w:rPr>
          <w:rFonts w:ascii="Times New Roman" w:eastAsia="Times New Roman" w:hAnsi="Times New Roman" w:cs="Times New Roman"/>
          <w:b/>
          <w:bCs/>
          <w:i/>
          <w:sz w:val="24"/>
          <w:szCs w:val="24"/>
          <w:lang w:val="bg-BG"/>
        </w:rPr>
        <w:t>ОБРАЗЕЦ 2</w:t>
      </w:r>
      <w:r w:rsidRPr="00832B51">
        <w:rPr>
          <w:rFonts w:ascii="Times New Roman" w:eastAsia="Times New Roman" w:hAnsi="Times New Roman" w:cs="Times New Roman"/>
          <w:b/>
          <w:bCs/>
          <w:i/>
          <w:sz w:val="24"/>
          <w:szCs w:val="24"/>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основание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r w:rsidRPr="00832B51">
              <w:rPr>
                <w:rFonts w:ascii="Times New Roman" w:eastAsia="Times New Roman" w:hAnsi="Times New Roman" w:cs="Times New Roman"/>
                <w:sz w:val="24"/>
                <w:szCs w:val="24"/>
                <w:lang w:val="x-none"/>
              </w:rPr>
              <w:t xml:space="preserve">оден обект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предмет на ползването</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r w:rsidRPr="00832B51">
              <w:rPr>
                <w:rFonts w:ascii="Times New Roman" w:eastAsia="Times New Roman" w:hAnsi="Times New Roman" w:cs="Times New Roman"/>
                <w:b/>
                <w:sz w:val="24"/>
                <w:szCs w:val="24"/>
                <w:lang w:val="x-none"/>
              </w:rPr>
              <w:t>еста на заустване</w:t>
            </w:r>
            <w:r w:rsidRPr="00832B51">
              <w:rPr>
                <w:rFonts w:ascii="Times New Roman" w:eastAsia="Times New Roman" w:hAnsi="Times New Roman" w:cs="Times New Roman"/>
                <w:b/>
                <w:sz w:val="24"/>
                <w:szCs w:val="24"/>
                <w:lang w:val="bg-BG"/>
              </w:rPr>
              <w:t>то</w:t>
            </w:r>
            <w:r w:rsidRPr="00832B51">
              <w:rPr>
                <w:rFonts w:ascii="Times New Roman" w:eastAsia="Times New Roman" w:hAnsi="Times New Roman" w:cs="Times New Roman"/>
                <w:sz w:val="24"/>
                <w:szCs w:val="24"/>
                <w:lang w:val="x-none"/>
              </w:rPr>
              <w:t xml:space="preserve">, включително надморска височина и </w:t>
            </w:r>
            <w:r w:rsidRPr="00832B51">
              <w:rPr>
                <w:rFonts w:ascii="Times New Roman" w:eastAsia="Times New Roman" w:hAnsi="Times New Roman" w:cs="Times New Roman"/>
                <w:sz w:val="24"/>
                <w:szCs w:val="24"/>
                <w:lang w:val="bg-BG"/>
              </w:rPr>
              <w:t xml:space="preserve">географски </w:t>
            </w:r>
            <w:r w:rsidRPr="00832B51">
              <w:rPr>
                <w:rFonts w:ascii="Times New Roman" w:eastAsia="Times New Roman" w:hAnsi="Times New Roman" w:cs="Times New Roman"/>
                <w:sz w:val="24"/>
                <w:szCs w:val="24"/>
                <w:lang w:val="x-none"/>
              </w:rPr>
              <w:t xml:space="preserve">координати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 xml:space="preserve">точката/ите на заустване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заустване</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832B51" w:rsidTr="00832B51">
        <w:trPr>
          <w:trHeight w:val="270"/>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r w:rsidRPr="000B7985">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832B51" w:rsidRPr="00832B51"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832B51"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832B51" w:rsidRPr="00832B51"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832B51" w:rsidRPr="00832B51"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832B51"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832B51" w:rsidRPr="00832B51"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832B51"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832B51"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Данни за максимално часовото, средноденонощното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jc w:val="both"/>
              <w:rPr>
                <w:rFonts w:ascii="Times New Roman" w:eastAsia="Times New Roman" w:hAnsi="Times New Roman" w:cs="Times New Roman"/>
                <w:color w:val="000000"/>
                <w:sz w:val="24"/>
                <w:szCs w:val="24"/>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 списък на характерни за съответното производство приоритетни и други </w:t>
            </w:r>
            <w:r w:rsidRPr="00832B51">
              <w:rPr>
                <w:rFonts w:ascii="Times New Roman" w:eastAsia="Times New Roman" w:hAnsi="Times New Roman" w:cs="Times New Roman"/>
                <w:color w:val="000000"/>
                <w:sz w:val="24"/>
                <w:szCs w:val="24"/>
                <w:lang w:val="bg-BG"/>
              </w:rPr>
              <w:lastRenderedPageBreak/>
              <w:t>основни и специфични вещества и замърсители, изпускани в отпадъчните води;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832B51"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832B51" w:rsidRPr="00832B51"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832B51" w:rsidRPr="00832B51"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both"/>
        <w:rPr>
          <w:rFonts w:ascii="Times New Roman" w:eastAsia="Times New Roman" w:hAnsi="Times New Roman" w:cs="Times New Roman"/>
          <w:caps/>
          <w:sz w:val="24"/>
          <w:szCs w:val="24"/>
          <w:lang w:val="en-GB"/>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8164AA" w:rsidP="00832B51">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r w:rsidR="00832B51" w:rsidRPr="00832B51">
        <w:rPr>
          <w:rFonts w:ascii="Times New Roman" w:eastAsia="Times New Roman" w:hAnsi="Times New Roman" w:cs="Times New Roman"/>
          <w:i/>
          <w:sz w:val="24"/>
          <w:szCs w:val="24"/>
          <w:lang w:val="bg-BG"/>
        </w:rPr>
        <w:t xml:space="preserve">/   </w:t>
      </w:r>
    </w:p>
    <w:p w:rsidR="006C2FC8" w:rsidRDefault="006C2FC8"/>
    <w:sectPr w:rsidR="006C2FC8"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3F" w:rsidRDefault="00570C3F" w:rsidP="00917A99">
      <w:pPr>
        <w:spacing w:after="0" w:line="240" w:lineRule="auto"/>
      </w:pPr>
      <w:r>
        <w:separator/>
      </w:r>
    </w:p>
  </w:endnote>
  <w:endnote w:type="continuationSeparator" w:id="0">
    <w:p w:rsidR="00570C3F" w:rsidRDefault="00570C3F"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0E01BF">
          <w:rPr>
            <w:noProof/>
          </w:rPr>
          <w:t>1</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3F" w:rsidRDefault="00570C3F" w:rsidP="00917A99">
      <w:pPr>
        <w:spacing w:after="0" w:line="240" w:lineRule="auto"/>
      </w:pPr>
      <w:r>
        <w:separator/>
      </w:r>
    </w:p>
  </w:footnote>
  <w:footnote w:type="continuationSeparator" w:id="0">
    <w:p w:rsidR="00570C3F" w:rsidRDefault="00570C3F"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0E01BF"/>
    <w:rsid w:val="00111926"/>
    <w:rsid w:val="001E22B4"/>
    <w:rsid w:val="00217FCE"/>
    <w:rsid w:val="00275C5A"/>
    <w:rsid w:val="00434C9C"/>
    <w:rsid w:val="004E7370"/>
    <w:rsid w:val="00507318"/>
    <w:rsid w:val="00524282"/>
    <w:rsid w:val="00570C3F"/>
    <w:rsid w:val="00607F48"/>
    <w:rsid w:val="00684E9A"/>
    <w:rsid w:val="006B3E9F"/>
    <w:rsid w:val="006C2FC8"/>
    <w:rsid w:val="0076356D"/>
    <w:rsid w:val="008164AA"/>
    <w:rsid w:val="00826641"/>
    <w:rsid w:val="00832B51"/>
    <w:rsid w:val="00917A99"/>
    <w:rsid w:val="0093479F"/>
    <w:rsid w:val="009E3092"/>
    <w:rsid w:val="00B00E47"/>
    <w:rsid w:val="00BD4A3F"/>
    <w:rsid w:val="00C365A8"/>
    <w:rsid w:val="00CD040F"/>
    <w:rsid w:val="00DC0B81"/>
    <w:rsid w:val="00E4628F"/>
    <w:rsid w:val="00F1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123456</cp:lastModifiedBy>
  <cp:revision>2</cp:revision>
  <dcterms:created xsi:type="dcterms:W3CDTF">2018-11-27T08:42:00Z</dcterms:created>
  <dcterms:modified xsi:type="dcterms:W3CDTF">2018-11-27T08:42:00Z</dcterms:modified>
</cp:coreProperties>
</file>