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76FC" w:rsidRDefault="004676FC" w:rsidP="004676FC">
      <w:pPr>
        <w:pStyle w:val="Heading2OrgManual"/>
        <w:spacing w:before="120"/>
        <w:rPr>
          <w:rFonts w:cstheme="minorHAnsi"/>
          <w:lang w:val="en-GB"/>
        </w:rPr>
      </w:pPr>
    </w:p>
    <w:p w:rsidR="00C14CED" w:rsidRPr="00AF646D" w:rsidRDefault="00C14CED" w:rsidP="004676FC">
      <w:pPr>
        <w:pStyle w:val="Heading2OrgManual"/>
        <w:spacing w:before="120"/>
        <w:rPr>
          <w:rFonts w:cstheme="minorHAnsi"/>
          <w:lang w:val="en-GB"/>
        </w:rPr>
      </w:pPr>
      <w:r w:rsidRPr="00AF646D">
        <w:rPr>
          <w:rFonts w:cstheme="minorHAnsi"/>
          <w:lang w:val="en-GB"/>
        </w:rPr>
        <w:t>PREDEFINED RISK ASSESSMENT PDRA-G02 Version 1.</w:t>
      </w:r>
      <w:r w:rsidRPr="00AF646D">
        <w:rPr>
          <w:rFonts w:cstheme="minorHAnsi"/>
          <w:color w:val="000000" w:themeColor="text1"/>
          <w:lang w:val="en-GB"/>
        </w:rPr>
        <w:t>1</w:t>
      </w:r>
      <w:r w:rsidR="004676FC">
        <w:rPr>
          <w:rFonts w:cstheme="minorHAnsi"/>
          <w:color w:val="000000" w:themeColor="text1"/>
          <w:lang w:val="en-GB"/>
        </w:rPr>
        <w:t xml:space="preserve">, </w:t>
      </w:r>
      <w:r w:rsidRPr="00AF646D">
        <w:rPr>
          <w:rFonts w:cstheme="minorHAnsi"/>
          <w:lang w:val="en-GB"/>
        </w:rPr>
        <w:t xml:space="preserve">EDITION </w:t>
      </w:r>
      <w:r w:rsidRPr="00AF646D">
        <w:rPr>
          <w:rFonts w:cstheme="minorHAnsi"/>
          <w:color w:val="000000" w:themeColor="text1"/>
          <w:lang w:val="en-GB"/>
        </w:rPr>
        <w:t>January 2022</w:t>
      </w:r>
    </w:p>
    <w:p w:rsidR="00C14CED" w:rsidRPr="00AF646D" w:rsidRDefault="00C14CED" w:rsidP="00C14CED">
      <w:pPr>
        <w:spacing w:before="120" w:after="120" w:line="276" w:lineRule="auto"/>
        <w:ind w:left="567" w:hanging="567"/>
        <w:jc w:val="both"/>
        <w:rPr>
          <w:rFonts w:asciiTheme="minorHAnsi" w:hAnsiTheme="minorHAnsi" w:cstheme="minorHAnsi"/>
        </w:rPr>
      </w:pPr>
      <w:r w:rsidRPr="00AF646D">
        <w:rPr>
          <w:rFonts w:asciiTheme="minorHAnsi" w:hAnsiTheme="minorHAnsi" w:cstheme="minorHAnsi"/>
        </w:rPr>
        <w:t>(a)</w:t>
      </w:r>
      <w:r w:rsidRPr="00AF646D">
        <w:rPr>
          <w:rFonts w:asciiTheme="minorHAnsi" w:hAnsiTheme="minorHAnsi" w:cstheme="minorHAnsi"/>
        </w:rPr>
        <w:tab/>
        <w:t>Scope</w:t>
      </w:r>
    </w:p>
    <w:p w:rsidR="00C14CED" w:rsidRPr="00AF646D" w:rsidRDefault="00C14CED" w:rsidP="00C14CED">
      <w:pPr>
        <w:spacing w:before="120" w:after="120" w:line="276" w:lineRule="auto"/>
        <w:ind w:left="567"/>
        <w:jc w:val="both"/>
        <w:rPr>
          <w:rFonts w:asciiTheme="minorHAnsi" w:hAnsiTheme="minorHAnsi" w:cstheme="minorHAnsi"/>
        </w:rPr>
      </w:pPr>
      <w:r w:rsidRPr="00AF646D">
        <w:rPr>
          <w:rFonts w:asciiTheme="minorHAnsi" w:hAnsiTheme="minorHAnsi" w:cstheme="minorHAnsi"/>
        </w:rPr>
        <w:t>This PDRA is the result of applying the methodology that is described in AMC1 to Article 11 of the UAS Regulation to UAS operations conducted in the ‘specific’ category with the following main attributes:</w:t>
      </w:r>
    </w:p>
    <w:p w:rsidR="00C14CED" w:rsidRPr="00AF646D" w:rsidRDefault="00C14CED" w:rsidP="00C14CED">
      <w:pPr>
        <w:pStyle w:val="ListParagraph"/>
        <w:numPr>
          <w:ilvl w:val="0"/>
          <w:numId w:val="14"/>
        </w:numPr>
        <w:spacing w:before="120" w:after="120" w:line="276" w:lineRule="auto"/>
        <w:ind w:left="1134" w:hanging="567"/>
        <w:contextualSpacing w:val="0"/>
        <w:jc w:val="both"/>
        <w:rPr>
          <w:rFonts w:asciiTheme="minorHAnsi" w:hAnsiTheme="minorHAnsi" w:cstheme="minorHAnsi"/>
          <w:color w:val="000000" w:themeColor="text1"/>
        </w:rPr>
      </w:pPr>
      <w:r w:rsidRPr="00AF646D">
        <w:rPr>
          <w:rFonts w:asciiTheme="minorHAnsi" w:hAnsiTheme="minorHAnsi" w:cstheme="minorHAnsi"/>
          <w:color w:val="000000" w:themeColor="text1"/>
        </w:rPr>
        <w:t>UA with maximum characteristic dimensions (</w:t>
      </w:r>
      <w:proofErr w:type="gramStart"/>
      <w:r w:rsidRPr="00AF646D">
        <w:rPr>
          <w:rFonts w:asciiTheme="minorHAnsi" w:hAnsiTheme="minorHAnsi" w:cstheme="minorHAnsi"/>
          <w:color w:val="000000" w:themeColor="text1"/>
        </w:rPr>
        <w:t>e.g.</w:t>
      </w:r>
      <w:proofErr w:type="gramEnd"/>
      <w:r w:rsidRPr="00AF646D">
        <w:rPr>
          <w:rFonts w:asciiTheme="minorHAnsi" w:hAnsiTheme="minorHAnsi" w:cstheme="minorHAnsi"/>
          <w:color w:val="000000" w:themeColor="text1"/>
        </w:rPr>
        <w:t xml:space="preserve"> wingspan, rotor diameter/area or maximum distance between rotors in case of a multirotor) of up to 3 m and typical kinetic energies of up to 34 kJ;</w:t>
      </w:r>
    </w:p>
    <w:p w:rsidR="00C14CED" w:rsidRPr="00AF646D" w:rsidRDefault="00C14CED" w:rsidP="00C14CED">
      <w:pPr>
        <w:pStyle w:val="ListParagraph"/>
        <w:numPr>
          <w:ilvl w:val="0"/>
          <w:numId w:val="14"/>
        </w:numPr>
        <w:spacing w:before="120" w:after="120" w:line="276" w:lineRule="auto"/>
        <w:ind w:left="1134" w:hanging="567"/>
        <w:contextualSpacing w:val="0"/>
        <w:jc w:val="both"/>
        <w:rPr>
          <w:rFonts w:asciiTheme="minorHAnsi" w:hAnsiTheme="minorHAnsi" w:cstheme="minorHAnsi"/>
          <w:color w:val="000000" w:themeColor="text1"/>
        </w:rPr>
      </w:pPr>
      <w:r w:rsidRPr="00AF646D">
        <w:rPr>
          <w:rFonts w:asciiTheme="minorHAnsi" w:hAnsiTheme="minorHAnsi" w:cstheme="minorHAnsi"/>
          <w:color w:val="000000" w:themeColor="text1"/>
        </w:rPr>
        <w:t>BVLOS of the remote pilot;</w:t>
      </w:r>
    </w:p>
    <w:p w:rsidR="00C14CED" w:rsidRPr="00AF646D" w:rsidRDefault="00C14CED" w:rsidP="00C14CED">
      <w:pPr>
        <w:pStyle w:val="ListParagraph"/>
        <w:numPr>
          <w:ilvl w:val="0"/>
          <w:numId w:val="14"/>
        </w:numPr>
        <w:spacing w:before="120" w:after="120" w:line="276" w:lineRule="auto"/>
        <w:ind w:left="1134" w:hanging="567"/>
        <w:contextualSpacing w:val="0"/>
        <w:jc w:val="both"/>
        <w:rPr>
          <w:rFonts w:asciiTheme="minorHAnsi" w:hAnsiTheme="minorHAnsi" w:cstheme="minorHAnsi"/>
          <w:color w:val="000000" w:themeColor="text1"/>
        </w:rPr>
      </w:pPr>
      <w:r w:rsidRPr="00AF646D">
        <w:rPr>
          <w:rFonts w:asciiTheme="minorHAnsi" w:hAnsiTheme="minorHAnsi" w:cstheme="minorHAnsi"/>
          <w:color w:val="000000" w:themeColor="text1"/>
        </w:rPr>
        <w:t>over sparsely populated areas;</w:t>
      </w:r>
    </w:p>
    <w:p w:rsidR="00C14CED" w:rsidRPr="00AF646D" w:rsidRDefault="00C14CED" w:rsidP="00C14CED">
      <w:pPr>
        <w:pStyle w:val="ListParagraph"/>
        <w:numPr>
          <w:ilvl w:val="0"/>
          <w:numId w:val="14"/>
        </w:numPr>
        <w:spacing w:before="120" w:after="120" w:line="276" w:lineRule="auto"/>
        <w:ind w:left="1134" w:hanging="567"/>
        <w:contextualSpacing w:val="0"/>
        <w:jc w:val="both"/>
        <w:rPr>
          <w:rFonts w:asciiTheme="minorHAnsi" w:hAnsiTheme="minorHAnsi" w:cstheme="minorHAnsi"/>
          <w:color w:val="000000" w:themeColor="text1"/>
        </w:rPr>
      </w:pPr>
      <w:bookmarkStart w:id="0" w:name="_Hlk87714149"/>
      <w:r w:rsidRPr="00AF646D">
        <w:rPr>
          <w:rFonts w:asciiTheme="minorHAnsi" w:hAnsiTheme="minorHAnsi" w:cstheme="minorHAnsi"/>
        </w:rPr>
        <w:t>in airspace that is reserved or segregated for the UAS operation</w:t>
      </w:r>
      <w:bookmarkEnd w:id="0"/>
      <w:r w:rsidRPr="00AF646D">
        <w:rPr>
          <w:rFonts w:asciiTheme="minorHAnsi" w:hAnsiTheme="minorHAnsi" w:cstheme="minorHAnsi"/>
        </w:rPr>
        <w:t>, corresponding to an air risk that can be classified as ARC-a</w:t>
      </w:r>
      <w:r w:rsidR="000B360A" w:rsidRPr="00AF646D">
        <w:rPr>
          <w:rFonts w:asciiTheme="minorHAnsi" w:hAnsiTheme="minorHAnsi" w:cstheme="minorHAnsi"/>
        </w:rPr>
        <w:t>;</w:t>
      </w:r>
    </w:p>
    <w:p w:rsidR="00C14CED" w:rsidRPr="00AF646D" w:rsidRDefault="00C14CED" w:rsidP="00C14CED">
      <w:pPr>
        <w:pStyle w:val="ListParagraph"/>
        <w:numPr>
          <w:ilvl w:val="0"/>
          <w:numId w:val="14"/>
        </w:numPr>
        <w:spacing w:before="120" w:after="120" w:line="276" w:lineRule="auto"/>
        <w:ind w:left="1134" w:hanging="567"/>
        <w:contextualSpacing w:val="0"/>
        <w:jc w:val="both"/>
        <w:rPr>
          <w:rFonts w:asciiTheme="minorHAnsi" w:hAnsiTheme="minorHAnsi" w:cstheme="minorHAnsi"/>
          <w:color w:val="000000" w:themeColor="text1"/>
        </w:rPr>
      </w:pPr>
      <w:r w:rsidRPr="00AF646D">
        <w:rPr>
          <w:rFonts w:asciiTheme="minorHAnsi" w:hAnsiTheme="minorHAnsi" w:cstheme="minorHAnsi"/>
          <w:color w:val="000000" w:themeColor="text1"/>
        </w:rPr>
        <w:t>within the range of the direct C2 link</w:t>
      </w:r>
      <w:r w:rsidRPr="00AF646D">
        <w:rPr>
          <w:rStyle w:val="FootnoteReference"/>
          <w:rFonts w:asciiTheme="minorHAnsi" w:hAnsiTheme="minorHAnsi" w:cstheme="minorHAnsi"/>
          <w:color w:val="000000" w:themeColor="text1"/>
        </w:rPr>
        <w:footnoteReference w:id="1"/>
      </w:r>
      <w:r w:rsidRPr="00AF646D">
        <w:rPr>
          <w:rFonts w:asciiTheme="minorHAnsi" w:hAnsiTheme="minorHAnsi" w:cstheme="minorHAnsi"/>
          <w:color w:val="000000" w:themeColor="text1"/>
        </w:rPr>
        <w:t xml:space="preserve"> (radio line of sight) up to the height of the upper boundary</w:t>
      </w:r>
      <w:r w:rsidRPr="00AF646D">
        <w:rPr>
          <w:rFonts w:asciiTheme="minorHAnsi" w:hAnsiTheme="minorHAnsi" w:cstheme="minorHAnsi"/>
          <w:szCs w:val="20"/>
        </w:rPr>
        <w:t xml:space="preserve"> of the reserved airspace.</w:t>
      </w:r>
    </w:p>
    <w:p w:rsidR="00C14CED" w:rsidRPr="00AF646D" w:rsidRDefault="00C14CED" w:rsidP="00C14CED">
      <w:pPr>
        <w:spacing w:before="120" w:after="120" w:line="276" w:lineRule="auto"/>
        <w:ind w:left="567" w:hanging="567"/>
        <w:jc w:val="both"/>
        <w:rPr>
          <w:rFonts w:asciiTheme="minorHAnsi" w:hAnsiTheme="minorHAnsi" w:cstheme="minorHAnsi"/>
        </w:rPr>
      </w:pPr>
      <w:r w:rsidRPr="00AF646D">
        <w:rPr>
          <w:rFonts w:asciiTheme="minorHAnsi" w:hAnsiTheme="minorHAnsi" w:cstheme="minorHAnsi"/>
        </w:rPr>
        <w:t>(b)</w:t>
      </w:r>
      <w:r w:rsidRPr="00AF646D">
        <w:rPr>
          <w:rFonts w:asciiTheme="minorHAnsi" w:hAnsiTheme="minorHAnsi" w:cstheme="minorHAnsi"/>
        </w:rPr>
        <w:tab/>
        <w:t>PDRA characterisation and conditions</w:t>
      </w:r>
    </w:p>
    <w:p w:rsidR="00C14CED" w:rsidRPr="00AF646D" w:rsidRDefault="00C14CED" w:rsidP="00C14CED">
      <w:pPr>
        <w:rPr>
          <w:rFonts w:asciiTheme="minorHAnsi" w:hAnsiTheme="minorHAnsi" w:cstheme="minorHAnsi"/>
        </w:rPr>
      </w:pPr>
      <w:r w:rsidRPr="00AF646D">
        <w:rPr>
          <w:rFonts w:asciiTheme="minorHAnsi" w:hAnsiTheme="minorHAnsi" w:cstheme="minorHAnsi"/>
        </w:rPr>
        <w:br w:type="page"/>
      </w:r>
    </w:p>
    <w:p w:rsidR="00C14CED" w:rsidRPr="00AF646D" w:rsidRDefault="00C14CED" w:rsidP="00C14CED">
      <w:pPr>
        <w:spacing w:before="120" w:after="120" w:line="276" w:lineRule="auto"/>
        <w:ind w:left="567"/>
        <w:jc w:val="both"/>
        <w:rPr>
          <w:rFonts w:asciiTheme="minorHAnsi" w:hAnsiTheme="minorHAnsi" w:cstheme="minorHAnsi"/>
        </w:rPr>
      </w:pPr>
      <w:r w:rsidRPr="00AF646D">
        <w:rPr>
          <w:rFonts w:asciiTheme="minorHAnsi" w:hAnsiTheme="minorHAnsi" w:cstheme="minorHAnsi"/>
        </w:rPr>
        <w:t>The characterisation and conditions for this PDRA are summarised in Table PDRA-G02.1 below.</w:t>
      </w:r>
    </w:p>
    <w:tbl>
      <w:tblPr>
        <w:tblStyle w:val="easaTable"/>
        <w:tblW w:w="14491"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8"/>
        <w:gridCol w:w="771"/>
        <w:gridCol w:w="646"/>
        <w:gridCol w:w="832"/>
        <w:gridCol w:w="917"/>
        <w:gridCol w:w="2222"/>
        <w:gridCol w:w="356"/>
        <w:gridCol w:w="3330"/>
        <w:gridCol w:w="2268"/>
        <w:gridCol w:w="1591"/>
      </w:tblGrid>
      <w:tr w:rsidR="004676FC" w:rsidRPr="00AF646D" w:rsidTr="0046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Centered"/>
              <w:rPr>
                <w:rStyle w:val="Bold"/>
                <w:rFonts w:cstheme="minorHAnsi"/>
                <w:b/>
                <w:lang w:val="en-GB"/>
              </w:rPr>
            </w:pPr>
            <w:bookmarkStart w:id="1" w:name="_Hlk75791743"/>
            <w:r w:rsidRPr="00AF646D">
              <w:rPr>
                <w:rStyle w:val="Bold"/>
                <w:rFonts w:cstheme="minorHAnsi"/>
                <w:lang w:val="en-GB"/>
              </w:rPr>
              <w:t>PDRA characterisation and conditions</w:t>
            </w:r>
          </w:p>
        </w:tc>
        <w:tc>
          <w:tcPr>
            <w:tcW w:w="1591" w:type="dxa"/>
          </w:tcPr>
          <w:p w:rsidR="004676FC" w:rsidRPr="00AF646D" w:rsidRDefault="004676FC" w:rsidP="00816DF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lang w:val="en-GB"/>
              </w:rPr>
            </w:pPr>
          </w:p>
        </w:tc>
      </w:tr>
      <w:tr w:rsidR="004676FC" w:rsidRPr="00AF646D" w:rsidTr="0046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8" w:type="dxa"/>
            <w:vAlign w:val="center"/>
          </w:tcPr>
          <w:p w:rsidR="004676FC" w:rsidRPr="00AF646D" w:rsidRDefault="004676FC" w:rsidP="00816DF3">
            <w:pPr>
              <w:pStyle w:val="TableCentered"/>
              <w:rPr>
                <w:rStyle w:val="Bold"/>
                <w:rFonts w:cstheme="minorHAnsi"/>
                <w:b/>
                <w:lang w:val="en-GB"/>
              </w:rPr>
            </w:pPr>
            <w:r w:rsidRPr="00AF646D">
              <w:rPr>
                <w:rFonts w:cstheme="minorHAnsi"/>
                <w:color w:val="auto"/>
                <w:lang w:val="en-GB"/>
              </w:rPr>
              <w:t>Topic</w:t>
            </w:r>
          </w:p>
        </w:tc>
        <w:tc>
          <w:tcPr>
            <w:tcW w:w="1417" w:type="dxa"/>
            <w:gridSpan w:val="2"/>
            <w:vAlign w:val="center"/>
          </w:tcPr>
          <w:p w:rsidR="004676FC" w:rsidRPr="00AF646D" w:rsidRDefault="004676FC" w:rsidP="00816DF3">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spacing w:val="-2"/>
                <w:lang w:val="en-GB"/>
              </w:rPr>
            </w:pPr>
            <w:r w:rsidRPr="00AF646D">
              <w:rPr>
                <w:rFonts w:cstheme="minorHAnsi"/>
                <w:color w:val="auto"/>
                <w:spacing w:val="-2"/>
                <w:lang w:val="en-GB"/>
              </w:rPr>
              <w:t>Method of proof</w:t>
            </w:r>
          </w:p>
        </w:tc>
        <w:tc>
          <w:tcPr>
            <w:tcW w:w="3971" w:type="dxa"/>
            <w:gridSpan w:val="3"/>
            <w:vAlign w:val="center"/>
          </w:tcPr>
          <w:p w:rsidR="004676FC" w:rsidRPr="00AF646D" w:rsidRDefault="004676FC" w:rsidP="00816DF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lang w:val="en-GB"/>
              </w:rPr>
            </w:pPr>
            <w:r w:rsidRPr="00AF646D">
              <w:rPr>
                <w:rFonts w:cstheme="minorHAnsi"/>
                <w:color w:val="auto"/>
                <w:lang w:val="en-GB"/>
              </w:rPr>
              <w:t>Condition</w:t>
            </w:r>
          </w:p>
        </w:tc>
        <w:tc>
          <w:tcPr>
            <w:tcW w:w="3686" w:type="dxa"/>
            <w:gridSpan w:val="2"/>
            <w:vAlign w:val="center"/>
          </w:tcPr>
          <w:p w:rsidR="004676FC" w:rsidRPr="00AF646D" w:rsidRDefault="004676FC" w:rsidP="00816DF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AF646D">
              <w:rPr>
                <w:rFonts w:cstheme="minorHAnsi"/>
                <w:color w:val="auto"/>
                <w:lang w:val="en-GB"/>
              </w:rPr>
              <w:t>Integrity</w:t>
            </w:r>
            <w:r w:rsidRPr="00AF646D">
              <w:rPr>
                <w:rStyle w:val="FootnoteReference"/>
                <w:rFonts w:cstheme="minorHAnsi"/>
                <w:color w:val="auto"/>
                <w:lang w:val="en-GB"/>
              </w:rPr>
              <w:footnoteReference w:id="2"/>
            </w:r>
          </w:p>
        </w:tc>
        <w:tc>
          <w:tcPr>
            <w:tcW w:w="2268" w:type="dxa"/>
            <w:vAlign w:val="center"/>
          </w:tcPr>
          <w:p w:rsidR="004676FC" w:rsidRPr="00AF646D" w:rsidRDefault="004676FC" w:rsidP="00816DF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lang w:val="en-GB"/>
              </w:rPr>
            </w:pPr>
            <w:r w:rsidRPr="00AF646D">
              <w:rPr>
                <w:rFonts w:cstheme="minorHAnsi"/>
                <w:color w:val="auto"/>
                <w:lang w:val="en-GB"/>
              </w:rPr>
              <w:t>Proof</w:t>
            </w:r>
            <w:r>
              <w:rPr>
                <w:rFonts w:cstheme="minorHAnsi"/>
                <w:color w:val="auto"/>
                <w:vertAlign w:val="superscript"/>
                <w:lang w:val="en-GB"/>
              </w:rPr>
              <w:t>2</w:t>
            </w:r>
          </w:p>
        </w:tc>
        <w:tc>
          <w:tcPr>
            <w:tcW w:w="1587" w:type="dxa"/>
          </w:tcPr>
          <w:p w:rsidR="004676FC" w:rsidRPr="00AF646D" w:rsidRDefault="004676FC" w:rsidP="00816DF3">
            <w:pPr>
              <w:pStyle w:val="TableCentered"/>
              <w:cnfStyle w:val="100000000000" w:firstRow="1" w:lastRow="0" w:firstColumn="0" w:lastColumn="0" w:oddVBand="0" w:evenVBand="0" w:oddHBand="0" w:evenHBand="0" w:firstRowFirstColumn="0" w:firstRowLastColumn="0" w:lastRowFirstColumn="0" w:lastRowLastColumn="0"/>
              <w:rPr>
                <w:rFonts w:cstheme="minorHAnsi"/>
                <w:lang w:val="en-GB"/>
              </w:rPr>
            </w:pPr>
            <w:r w:rsidRPr="00B22519">
              <w:rPr>
                <w:rFonts w:cstheme="minorHAnsi"/>
                <w:color w:val="auto"/>
                <w:lang w:val="en-GB"/>
              </w:rPr>
              <w:t>to be completed by BG CAA</w:t>
            </w:r>
          </w:p>
        </w:tc>
      </w:tr>
      <w:tr w:rsidR="004676FC" w:rsidRPr="00AF646D" w:rsidTr="004676FC">
        <w:trPr>
          <w:trHeight w:val="335"/>
        </w:trPr>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Normal0"/>
              <w:rPr>
                <w:rFonts w:cstheme="minorHAnsi"/>
                <w:b w:val="0"/>
                <w:bCs/>
                <w:lang w:val="en-GB"/>
              </w:rPr>
            </w:pPr>
            <w:r w:rsidRPr="00AF646D">
              <w:rPr>
                <w:rStyle w:val="Bold"/>
                <w:rFonts w:cstheme="minorHAnsi"/>
                <w:b/>
                <w:bCs/>
                <w:lang w:val="en-GB"/>
              </w:rPr>
              <w:t>1. Operational characterisation (scope and limitations)</w:t>
            </w:r>
          </w:p>
        </w:tc>
        <w:tc>
          <w:tcPr>
            <w:tcW w:w="1591"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bookmarkEnd w:id="1"/>
      <w:tr w:rsidR="004676FC" w:rsidRPr="00AF646D" w:rsidTr="004676FC">
        <w:trPr>
          <w:trHeight w:val="335"/>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Level of human intervention</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1.1 No autonomous operations: the remote pilot should have the ability to maintain control of the UA, except in case of a loss of the command-and-control (C2) link.</w:t>
            </w:r>
          </w:p>
        </w:tc>
        <w:tc>
          <w:tcPr>
            <w:tcW w:w="3686" w:type="dxa"/>
            <w:gridSpan w:val="2"/>
            <w:shd w:val="clear" w:color="auto" w:fill="auto"/>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lang w:eastAsia="de-DE"/>
              </w:rPr>
            </w:pPr>
            <w:r w:rsidRPr="00AF646D">
              <w:rPr>
                <w:rFonts w:cstheme="minorHAnsi"/>
                <w:i/>
                <w:iCs/>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1.2 The remote pilot should operate only one UA at a time.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1.3 The remote pilot should not operate the UA from a moving vehicle.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1.4 The remote pilot should not hand the control of the UA over to another command unit.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443"/>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 xml:space="preserve">UA range limit </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1.</w:t>
            </w:r>
            <w:r w:rsidRPr="00AF646D">
              <w:rPr>
                <w:rFonts w:cstheme="minorHAnsi"/>
                <w:szCs w:val="20"/>
                <w:lang w:val="en-GB"/>
              </w:rPr>
              <w:t>5</w:t>
            </w:r>
            <w:r w:rsidRPr="00AF646D">
              <w:rPr>
                <w:rFonts w:cstheme="minorHAnsi"/>
                <w:lang w:val="en-GB"/>
              </w:rPr>
              <w:t xml:space="preserve"> </w:t>
            </w:r>
            <w:r w:rsidRPr="00AF646D">
              <w:rPr>
                <w:rFonts w:cstheme="minorHAnsi"/>
                <w:u w:val="single"/>
                <w:lang w:val="en-GB"/>
              </w:rPr>
              <w:t>Launch/recovery</w:t>
            </w:r>
            <w:r w:rsidRPr="00AF646D">
              <w:rPr>
                <w:rFonts w:cstheme="minorHAnsi"/>
                <w:lang w:val="en-GB"/>
              </w:rPr>
              <w:t>: At VLOS distance from the remote pilot, if not operating from a safe prepared area.</w:t>
            </w:r>
          </w:p>
          <w:p w:rsidR="004676FC" w:rsidRPr="00AF646D" w:rsidRDefault="004676FC" w:rsidP="00816DF3">
            <w:pPr>
              <w:spacing w:before="120"/>
              <w:ind w:left="28"/>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i/>
                <w:iCs/>
              </w:rPr>
              <w:t>Note: ‘safe prepared area’ means a controlled ground area that is suitable for the safe launch/recovery of the UA.</w:t>
            </w:r>
          </w:p>
        </w:tc>
        <w:tc>
          <w:tcPr>
            <w:tcW w:w="3686" w:type="dxa"/>
            <w:gridSpan w:val="2"/>
            <w:shd w:val="clear" w:color="auto" w:fill="auto"/>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AF646D">
              <w:rPr>
                <w:rFonts w:cstheme="minorHAnsi"/>
                <w:i/>
                <w:iCs/>
              </w:rPr>
              <w:t>Please include a reference to the relevant chapter/section of the OM.</w:t>
            </w:r>
          </w:p>
        </w:tc>
        <w:tc>
          <w:tcPr>
            <w:tcW w:w="2268" w:type="dxa"/>
            <w:shd w:val="clear" w:color="auto" w:fill="auto"/>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‘I declare compliance.’</w:t>
            </w:r>
          </w:p>
        </w:tc>
        <w:tc>
          <w:tcPr>
            <w:tcW w:w="1587" w:type="dxa"/>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4676FC" w:rsidRPr="00AF646D" w:rsidTr="004676FC">
        <w:trPr>
          <w:trHeight w:val="441"/>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 xml:space="preserve">1.6 </w:t>
            </w:r>
            <w:r w:rsidRPr="00AF646D">
              <w:rPr>
                <w:rFonts w:cstheme="minorHAnsi"/>
                <w:szCs w:val="20"/>
                <w:u w:val="single"/>
                <w:lang w:val="en-GB"/>
              </w:rPr>
              <w:t>In flight</w:t>
            </w:r>
            <w:r w:rsidRPr="00AF646D">
              <w:rPr>
                <w:rFonts w:cstheme="minorHAnsi"/>
                <w:szCs w:val="20"/>
                <w:lang w:val="en-GB"/>
              </w:rPr>
              <w:t>: The range limit should be within th</w:t>
            </w:r>
            <w:r w:rsidRPr="00AF646D">
              <w:rPr>
                <w:rFonts w:cstheme="minorHAnsi"/>
                <w:color w:val="000000" w:themeColor="text1"/>
                <w:szCs w:val="20"/>
                <w:lang w:val="en-GB"/>
              </w:rPr>
              <w:t xml:space="preserve">e coverage of </w:t>
            </w:r>
            <w:r w:rsidRPr="00AF646D">
              <w:rPr>
                <w:rFonts w:cstheme="minorHAnsi"/>
                <w:szCs w:val="20"/>
                <w:lang w:val="en-GB"/>
              </w:rPr>
              <w:t xml:space="preserve">the </w:t>
            </w:r>
            <w:r w:rsidRPr="00AF646D">
              <w:rPr>
                <w:rFonts w:cstheme="minorHAnsi"/>
                <w:color w:val="000000" w:themeColor="text1"/>
                <w:szCs w:val="20"/>
                <w:lang w:val="en-GB"/>
              </w:rPr>
              <w:t xml:space="preserve">direct </w:t>
            </w:r>
            <w:r w:rsidRPr="00AF646D">
              <w:rPr>
                <w:rFonts w:cstheme="minorHAnsi"/>
                <w:szCs w:val="20"/>
                <w:lang w:val="en-GB"/>
              </w:rPr>
              <w:t>C2 link (radio line of sight), which ensures the safe conduct of the flight.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Overflown areas</w:t>
            </w:r>
          </w:p>
        </w:tc>
        <w:tc>
          <w:tcPr>
            <w:tcW w:w="1417" w:type="dxa"/>
            <w:gridSpan w:val="2"/>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Declaration supported by data</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1.7</w:t>
            </w:r>
            <w:r w:rsidRPr="00AF646D">
              <w:rPr>
                <w:rFonts w:cstheme="minorHAnsi"/>
                <w:lang w:val="en-GB"/>
              </w:rPr>
              <w:t xml:space="preserve"> UAS operations should be conducted over sparsely populated areas.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where the procedures for determining the population density are provided.</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lang w:val="en-GB"/>
              </w:rPr>
              <w:t>‘I declare compliance.’</w:t>
            </w:r>
            <w:r w:rsidRPr="00AF646D">
              <w:rPr>
                <w:rFonts w:cstheme="minorHAnsi"/>
                <w:i/>
                <w:iCs/>
                <w:lang w:val="en-GB"/>
              </w:rPr>
              <w:t xml:space="preserve"> </w:t>
            </w:r>
          </w:p>
          <w:p w:rsidR="004676FC" w:rsidRPr="00AF646D" w:rsidRDefault="004676FC" w:rsidP="00816DF3">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describe how the population density data is identified.</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24"/>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UA limitations</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1.8</w:t>
            </w:r>
            <w:r w:rsidRPr="00AF646D">
              <w:rPr>
                <w:rFonts w:cstheme="minorHAnsi"/>
                <w:lang w:val="en-GB"/>
              </w:rPr>
              <w:t xml:space="preserve"> Maximum characteristic dimension (</w:t>
            </w:r>
            <w:proofErr w:type="gramStart"/>
            <w:r w:rsidRPr="00AF646D">
              <w:rPr>
                <w:rFonts w:cstheme="minorHAnsi"/>
                <w:lang w:val="en-GB"/>
              </w:rPr>
              <w:t>e.g.</w:t>
            </w:r>
            <w:proofErr w:type="gramEnd"/>
            <w:r w:rsidRPr="00AF646D">
              <w:rPr>
                <w:rFonts w:cstheme="minorHAnsi"/>
                <w:lang w:val="en-GB"/>
              </w:rPr>
              <w:t xml:space="preserve"> wingspan, rotor diameter/area or maximum distance between rotors in case of a multirotor): 3 m</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24"/>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1.9</w:t>
            </w:r>
            <w:r w:rsidRPr="00AF646D">
              <w:rPr>
                <w:rFonts w:cstheme="minorHAnsi"/>
                <w:lang w:val="en-GB"/>
              </w:rPr>
              <w:t xml:space="preserve"> Typical kinetic energy (as defined in paragraph 2.3.1(k) of AMC1 to Article 11 of the UAS Regulation: up to 34 kJ</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 xml:space="preserve">Flight height limit </w:t>
            </w:r>
          </w:p>
        </w:tc>
        <w:tc>
          <w:tcPr>
            <w:tcW w:w="1417" w:type="dxa"/>
            <w:gridSpan w:val="2"/>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1.10 The maximum height of the operation volume is limited by the size of the reserved or segregated airspace.</w:t>
            </w:r>
          </w:p>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i/>
                <w:szCs w:val="20"/>
                <w:lang w:val="en-GB"/>
              </w:rPr>
              <w:t>Note: In addition to the vertical limit of the operational volume, an air risk buffer is to be considered (see ‘Air risk’ under point 3 of this table).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75"/>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Airspace</w:t>
            </w:r>
          </w:p>
        </w:tc>
        <w:tc>
          <w:tcPr>
            <w:tcW w:w="1417" w:type="dxa"/>
            <w:gridSpan w:val="2"/>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0B360A">
            <w:pPr>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1.11 Operations should only be conducted in airspace that is reserved or segregated for the purpose of conducting UAS operations (corresponding to an air risk that can be classified as ARC-a).</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Visibility</w:t>
            </w:r>
          </w:p>
        </w:tc>
        <w:tc>
          <w:tcPr>
            <w:tcW w:w="1417" w:type="dxa"/>
            <w:gridSpan w:val="2"/>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szCs w:val="20"/>
                <w:lang w:val="en-GB"/>
              </w:rPr>
              <w:t>1.12 If take-off and landing are conducted in VLOS of the remote pilot, the visibility should be sufficient to ensure that no people are in danger during the take</w:t>
            </w:r>
            <w:r w:rsidRPr="00AF646D">
              <w:rPr>
                <w:rFonts w:cstheme="minorHAnsi"/>
                <w:szCs w:val="20"/>
                <w:lang w:val="en-GB"/>
              </w:rPr>
              <w:noBreakHyphen/>
              <w:t>off/landing phase. The remote pilot should abort the take</w:t>
            </w:r>
            <w:r w:rsidRPr="00AF646D">
              <w:rPr>
                <w:rFonts w:cstheme="minorHAnsi"/>
                <w:szCs w:val="20"/>
                <w:lang w:val="en-GB"/>
              </w:rPr>
              <w:noBreakHyphen/>
              <w:t>off or landing in case people on the ground are in danger.</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Others</w:t>
            </w:r>
          </w:p>
        </w:tc>
        <w:tc>
          <w:tcPr>
            <w:tcW w:w="1417" w:type="dxa"/>
            <w:gridSpan w:val="2"/>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 xml:space="preserve">1.13 The UA should not be used to drop material or to carry dangerous goods, except for dropping items in connection with agricultural, horticultural or forestry activities where the carriage of such items </w:t>
            </w:r>
            <w:r w:rsidRPr="00AF646D">
              <w:t>does not contravene any other</w:t>
            </w:r>
            <w:r w:rsidRPr="00AF646D">
              <w:rPr>
                <w:rFonts w:cstheme="minorHAnsi"/>
                <w:szCs w:val="20"/>
                <w:lang w:val="en-GB"/>
              </w:rPr>
              <w:t xml:space="preserve"> applicable regulations.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ListLevel0"/>
              <w:spacing w:after="0"/>
              <w:rPr>
                <w:rStyle w:val="TableChar"/>
                <w:rFonts w:cstheme="minorHAnsi"/>
                <w:lang w:val="en-GB"/>
              </w:rPr>
            </w:pPr>
            <w:r w:rsidRPr="00AF646D">
              <w:rPr>
                <w:rStyle w:val="TableChar"/>
                <w:rFonts w:cstheme="minorHAnsi"/>
                <w:lang w:val="en-GB"/>
              </w:rPr>
              <w:t xml:space="preserve">2. Operational risk classification (according to the classification defined in </w:t>
            </w:r>
            <w:r w:rsidRPr="00AF646D">
              <w:rPr>
                <w:rFonts w:cstheme="minorHAnsi"/>
                <w:lang w:val="en-GB"/>
              </w:rPr>
              <w:t>AMC1 to Article 11</w:t>
            </w:r>
            <w:r w:rsidRPr="00AF646D">
              <w:rPr>
                <w:rStyle w:val="TableChar"/>
                <w:rFonts w:cstheme="minorHAnsi"/>
                <w:lang w:val="en-GB"/>
              </w:rPr>
              <w:t xml:space="preserve"> of the UAS Regulation) </w:t>
            </w:r>
          </w:p>
        </w:tc>
        <w:tc>
          <w:tcPr>
            <w:tcW w:w="1591" w:type="dxa"/>
          </w:tcPr>
          <w:p w:rsidR="004676FC" w:rsidRPr="00AF646D" w:rsidRDefault="004676FC" w:rsidP="00816DF3">
            <w:pPr>
              <w:pStyle w:val="ListLevel0"/>
              <w:spacing w:after="0"/>
              <w:cnfStyle w:val="000000000000" w:firstRow="0" w:lastRow="0" w:firstColumn="0" w:lastColumn="0" w:oddVBand="0" w:evenVBand="0" w:oddHBand="0" w:evenHBand="0" w:firstRowFirstColumn="0" w:firstRowLastColumn="0" w:lastRowFirstColumn="0" w:lastRowLastColumn="0"/>
              <w:rPr>
                <w:rStyle w:val="TableChar"/>
                <w:rFonts w:cstheme="minorHAnsi"/>
                <w:lang w:val="en-GB"/>
              </w:rPr>
            </w:pPr>
          </w:p>
        </w:tc>
      </w:tr>
      <w:tr w:rsidR="004676FC" w:rsidRPr="00AF646D" w:rsidTr="004676FC">
        <w:trPr>
          <w:trHeight w:val="35"/>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Final GRC</w:t>
            </w:r>
          </w:p>
        </w:tc>
        <w:tc>
          <w:tcPr>
            <w:tcW w:w="771"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w:t>
            </w:r>
          </w:p>
        </w:tc>
        <w:tc>
          <w:tcPr>
            <w:tcW w:w="1478" w:type="dxa"/>
            <w:gridSpan w:val="2"/>
            <w:shd w:val="clear" w:color="auto" w:fill="7F7F7F" w:themeFill="text1" w:themeFillTint="80"/>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AF646D">
              <w:rPr>
                <w:rFonts w:cstheme="minorHAnsi"/>
                <w:b/>
                <w:bCs/>
                <w:lang w:val="en-GB"/>
              </w:rPr>
              <w:t>Final ARC</w:t>
            </w:r>
          </w:p>
        </w:tc>
        <w:tc>
          <w:tcPr>
            <w:tcW w:w="91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ARC-b </w:t>
            </w:r>
          </w:p>
        </w:tc>
        <w:tc>
          <w:tcPr>
            <w:tcW w:w="2578" w:type="dxa"/>
            <w:gridSpan w:val="2"/>
            <w:shd w:val="clear" w:color="auto" w:fill="7F7F7F" w:themeFill="text1" w:themeFillTint="80"/>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AF646D">
              <w:rPr>
                <w:rFonts w:cstheme="minorHAnsi"/>
                <w:b/>
                <w:bCs/>
                <w:lang w:val="en-GB"/>
              </w:rPr>
              <w:t>SAIL</w:t>
            </w:r>
          </w:p>
        </w:tc>
        <w:tc>
          <w:tcPr>
            <w:tcW w:w="5598"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II</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Head"/>
              <w:rPr>
                <w:rStyle w:val="Bold"/>
                <w:rFonts w:cstheme="minorHAnsi"/>
                <w:lang w:val="en-GB"/>
              </w:rPr>
            </w:pPr>
            <w:r w:rsidRPr="00AF646D">
              <w:rPr>
                <w:rStyle w:val="Bold"/>
                <w:rFonts w:cstheme="minorHAnsi"/>
                <w:lang w:val="en-GB"/>
              </w:rPr>
              <w:t xml:space="preserve">3. Operational mitigations </w:t>
            </w:r>
          </w:p>
        </w:tc>
        <w:tc>
          <w:tcPr>
            <w:tcW w:w="1591" w:type="dxa"/>
          </w:tcPr>
          <w:p w:rsidR="004676FC" w:rsidRPr="00AF646D" w:rsidRDefault="004676FC" w:rsidP="00816DF3">
            <w:pPr>
              <w:pStyle w:val="TableHead"/>
              <w:cnfStyle w:val="000000000000" w:firstRow="0" w:lastRow="0" w:firstColumn="0" w:lastColumn="0" w:oddVBand="0" w:evenVBand="0" w:oddHBand="0" w:evenHBand="0" w:firstRowFirstColumn="0" w:firstRowLastColumn="0" w:lastRowFirstColumn="0" w:lastRowLastColumn="0"/>
              <w:rPr>
                <w:rStyle w:val="Bold"/>
                <w:rFonts w:cstheme="minorHAnsi"/>
                <w:lang w:val="en-GB"/>
              </w:rPr>
            </w:pPr>
          </w:p>
        </w:tc>
      </w:tr>
      <w:tr w:rsidR="004676FC" w:rsidRPr="00AF646D" w:rsidTr="004676FC">
        <w:trPr>
          <w:trHeight w:val="445"/>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Operational volume (see Figure 2 of AMC1 Article 11)</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3.1 To determine the operational volume, the applicant should consider the position-keeping capabilities of the UAS in 4D space (latitude, longitude, height, and time).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44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3.2 In particular, the accuracy of the navigation solution, the flight technical error of the UAS, as well as the flight path definition error (</w:t>
            </w:r>
            <w:proofErr w:type="gramStart"/>
            <w:r w:rsidRPr="00AF646D">
              <w:rPr>
                <w:rFonts w:cstheme="minorHAnsi"/>
                <w:lang w:val="en-GB"/>
              </w:rPr>
              <w:t>e.g.</w:t>
            </w:r>
            <w:proofErr w:type="gramEnd"/>
            <w:r w:rsidRPr="00AF646D">
              <w:rPr>
                <w:rFonts w:cstheme="minorHAnsi"/>
                <w:lang w:val="en-GB"/>
              </w:rPr>
              <w:t xml:space="preserve"> map error) and latencies should be considered and addressed when determining the operational volume.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44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3.3 The remote pilot should apply emergency procedures as soon as there is an indication that the UA may exceed the limits of the operational volume.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67"/>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Ground risk</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ind w:left="454"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3.4 The UAS operator should establish a ground risk buffer to protect third parties on the ground outside the operational volume.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3.4.1 The minimum criterion should be the use of the ‘1:1 rule’ (</w:t>
            </w:r>
            <w:proofErr w:type="gramStart"/>
            <w:r w:rsidRPr="00AF646D">
              <w:rPr>
                <w:rFonts w:cstheme="minorHAnsi"/>
                <w:lang w:val="en-GB"/>
              </w:rPr>
              <w:t>e.g.</w:t>
            </w:r>
            <w:proofErr w:type="gramEnd"/>
            <w:r w:rsidRPr="00AF646D">
              <w:rPr>
                <w:rFonts w:cstheme="minorHAnsi"/>
                <w:lang w:val="en-GB"/>
              </w:rPr>
              <w:t xml:space="preserve"> if the UA is planned to operate at a height of 150 m, the ground risk buffer should at least be 150 m).  </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3.5 The operational volume and the ground risk buffer should be all contained in a sparsely populated area.</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3.6 The applicant should evaluate the area of operations typically by means of an on-site inspection or appraisal, and should be able to justify a reduced density of people at risk in the operational area and the ground risk buffer. </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5"/>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Air risk</w:t>
            </w:r>
          </w:p>
        </w:tc>
        <w:tc>
          <w:tcPr>
            <w:tcW w:w="1417" w:type="dxa"/>
            <w:gridSpan w:val="2"/>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3.7 </w:t>
            </w:r>
            <w:r w:rsidRPr="00AF646D">
              <w:rPr>
                <w:rFonts w:cstheme="minorHAnsi"/>
                <w:szCs w:val="20"/>
                <w:lang w:val="en-GB"/>
              </w:rPr>
              <w:t>The operational volume, including the air risk buffer, if applicable, should be entirely contained in the reserved or segregated airspace.</w:t>
            </w:r>
          </w:p>
        </w:tc>
        <w:tc>
          <w:tcPr>
            <w:tcW w:w="3686" w:type="dxa"/>
            <w:gridSpan w:val="2"/>
            <w:shd w:val="clear" w:color="auto" w:fill="auto"/>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lang w:eastAsia="de-DE"/>
              </w:rPr>
            </w:pPr>
            <w:r w:rsidRPr="00AF646D">
              <w:rPr>
                <w:rFonts w:cstheme="minorHAnsi"/>
                <w:i/>
                <w:iCs/>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50"/>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Observers</w:t>
            </w:r>
          </w:p>
        </w:tc>
        <w:tc>
          <w:tcPr>
            <w:tcW w:w="1417" w:type="dxa"/>
            <w:gridSpan w:val="2"/>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n/a</w:t>
            </w:r>
          </w:p>
        </w:tc>
        <w:tc>
          <w:tcPr>
            <w:tcW w:w="3686" w:type="dxa"/>
            <w:gridSpan w:val="2"/>
          </w:tcPr>
          <w:p w:rsidR="004676FC" w:rsidRPr="00AF646D" w:rsidRDefault="004676FC" w:rsidP="00816DF3">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Normal0"/>
              <w:rPr>
                <w:rStyle w:val="Bold"/>
                <w:rFonts w:cstheme="minorHAnsi"/>
                <w:b/>
                <w:bCs/>
                <w:lang w:val="en-GB"/>
              </w:rPr>
            </w:pPr>
            <w:r w:rsidRPr="00AF646D">
              <w:rPr>
                <w:rStyle w:val="Bold"/>
                <w:rFonts w:cstheme="minorHAnsi"/>
                <w:b/>
                <w:bCs/>
                <w:lang w:val="en-GB"/>
              </w:rPr>
              <w:t>4. UAS operator and UAS operations conditions</w:t>
            </w:r>
          </w:p>
        </w:tc>
        <w:tc>
          <w:tcPr>
            <w:tcW w:w="1591"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UAS operator and UAS operations</w:t>
            </w:r>
          </w:p>
        </w:tc>
        <w:tc>
          <w:tcPr>
            <w:tcW w:w="1417" w:type="dxa"/>
            <w:gridSpan w:val="2"/>
            <w:vMerge w:val="restart"/>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Declaration supported by data</w:t>
            </w: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 The UAS operator should:</w:t>
            </w:r>
          </w:p>
        </w:tc>
        <w:tc>
          <w:tcPr>
            <w:tcW w:w="3686" w:type="dxa"/>
            <w:gridSpan w:val="2"/>
            <w:shd w:val="clear" w:color="auto" w:fill="auto"/>
          </w:tcPr>
          <w:p w:rsidR="004676FC" w:rsidRPr="00AF646D" w:rsidRDefault="004676FC" w:rsidP="00816DF3">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i/>
                <w:iCs/>
              </w:rPr>
              <w:t>Please describe how this condition is met.</w:t>
            </w:r>
          </w:p>
        </w:tc>
        <w:tc>
          <w:tcPr>
            <w:tcW w:w="2268" w:type="dxa"/>
            <w:shd w:val="clear" w:color="auto" w:fill="auto"/>
          </w:tcPr>
          <w:p w:rsidR="004676FC" w:rsidRPr="00AF646D" w:rsidRDefault="004676FC" w:rsidP="00816DF3">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4.1.1 develop an </w:t>
            </w:r>
            <w:proofErr w:type="gramStart"/>
            <w:r w:rsidRPr="00AF646D">
              <w:rPr>
                <w:rFonts w:cstheme="minorHAnsi"/>
                <w:lang w:val="en-GB"/>
              </w:rPr>
              <w:t>operations</w:t>
            </w:r>
            <w:proofErr w:type="gramEnd"/>
            <w:r w:rsidRPr="00AF646D">
              <w:rPr>
                <w:rFonts w:cstheme="minorHAnsi"/>
                <w:lang w:val="en-GB"/>
              </w:rPr>
              <w:t xml:space="preserve"> manual (OM) (for the template, refer to AMC1 UAS.SPEC.030(3)(e) and to the complementary information in GM1 UAS.SPEC.030(3)(e));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4.1.2 develop procedures to ensure that the security requirements applicable to the area of operations are </w:t>
            </w:r>
            <w:proofErr w:type="spellStart"/>
            <w:r w:rsidRPr="00AF646D">
              <w:rPr>
                <w:rFonts w:cstheme="minorHAnsi"/>
                <w:lang w:val="en-GB"/>
              </w:rPr>
              <w:t>complied</w:t>
            </w:r>
            <w:proofErr w:type="spellEnd"/>
            <w:r w:rsidRPr="00AF646D">
              <w:rPr>
                <w:rFonts w:cstheme="minorHAnsi"/>
                <w:lang w:val="en-GB"/>
              </w:rPr>
              <w:t xml:space="preserve"> during the intended operation;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4.1.3 develop measures to protect the UAS against unlawful interference and unauthorised access;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4.1.4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4.1.5 develop guidelines for its remote pilots to plan UAS operations in a manner that minimises nuisance, including noise and other emissions-related nuisance, to people and animals;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4.1.6 develop an emergency response plan (ERP) in accordance with the conditions for a ‘medium’ level of robustness (please refer to AMC3 UAS.SPEC.030(3)(e);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the ERP is available to the </w:t>
            </w:r>
            <w:r w:rsidRPr="00AF646D">
              <w:rPr>
                <w:rFonts w:cstheme="minorHAnsi"/>
                <w:szCs w:val="22"/>
              </w:rPr>
              <w:t>competent authority for review</w:t>
            </w:r>
            <w:r w:rsidRPr="00AF646D">
              <w:rPr>
                <w:rFonts w:cstheme="minorHAnsi"/>
                <w:lang w:val="en-GB"/>
              </w:rPr>
              <w:t>.’</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4.1.7 validate the operational procedures in accordance with the conditions for a ‘medium’ level of robustness, which are included in AMC2 UAS.SPEC.030(3)(e);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the ERP is available to the </w:t>
            </w:r>
            <w:r w:rsidRPr="00AF646D">
              <w:rPr>
                <w:rFonts w:cstheme="minorHAnsi"/>
                <w:szCs w:val="22"/>
              </w:rPr>
              <w:t>competent authority for review</w:t>
            </w:r>
            <w:r w:rsidRPr="00AF646D">
              <w:rPr>
                <w:rFonts w:cstheme="minorHAnsi"/>
                <w:lang w:val="en-GB"/>
              </w:rPr>
              <w:t>.’</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4.1.8 ensure the adequacy of the contingency and emergency procedures and prove it through any of the following:</w:t>
            </w:r>
          </w:p>
          <w:p w:rsidR="004676FC" w:rsidRPr="00AF646D" w:rsidRDefault="004676FC" w:rsidP="00816DF3">
            <w:pPr>
              <w:pStyle w:val="TableNormal0"/>
              <w:spacing w:before="80"/>
              <w:ind w:left="896" w:hanging="1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(a) dedicated flight tests; or</w:t>
            </w:r>
          </w:p>
          <w:p w:rsidR="004676FC" w:rsidRPr="00AF646D" w:rsidRDefault="004676FC" w:rsidP="00816DF3">
            <w:pPr>
              <w:pStyle w:val="TableNormal0"/>
              <w:spacing w:before="80"/>
              <w:ind w:left="896" w:hanging="1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(b) simulations, provided that the representativeness of the simulation means is proven for the intended purpose with positive results; or</w:t>
            </w:r>
          </w:p>
          <w:p w:rsidR="004676FC" w:rsidRPr="00AF646D" w:rsidRDefault="004676FC" w:rsidP="00816DF3">
            <w:pPr>
              <w:pStyle w:val="TableNormal0"/>
              <w:ind w:left="1181"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(c) any other means acceptable to the competent authority;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the description for meeting this condition is available to the </w:t>
            </w:r>
            <w:r w:rsidRPr="00AF646D">
              <w:rPr>
                <w:rFonts w:cstheme="minorHAnsi"/>
                <w:szCs w:val="22"/>
              </w:rPr>
              <w:t>competent authority for review.’</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4.1.9 have a policy that defines how the remote pilot and any other personnel in charge of duties essential to the UAS operation can declare themselves fit to operate before conducting any operation.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the description for meeting this condition is available to the </w:t>
            </w:r>
            <w:r w:rsidRPr="00AF646D">
              <w:rPr>
                <w:rFonts w:cstheme="minorHAnsi"/>
                <w:szCs w:val="22"/>
              </w:rPr>
              <w:t>competent authority for review.’</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4.1.10 designate for each flight a remote pilot with adequate competency and other personnel in charge of duties essential to the UAS operation if needed;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vAlign w:val="center"/>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rPr>
              <w:t>4.1.11 ensure that the UAS operation effectively uses and supports the efficient use of the radio spectrum in order to avoid harmful interference;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CommentText"/>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‘I declare compliance and that supporting evidence is included in the OM.’</w:t>
            </w:r>
          </w:p>
        </w:tc>
        <w:tc>
          <w:tcPr>
            <w:tcW w:w="1587" w:type="dxa"/>
          </w:tcPr>
          <w:p w:rsidR="004676FC" w:rsidRPr="00AF646D" w:rsidRDefault="004676FC" w:rsidP="00816DF3">
            <w:pPr>
              <w:pStyle w:val="CommentText"/>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4.1.12 keep for a minimum of 3 years and maintain up to date a record of the information on UAS operations, including any unusual technical or operational occurrences and other data as required by the declaration or by the operational authorisation;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record-keeping data is available to the </w:t>
            </w:r>
            <w:r w:rsidRPr="00AF646D">
              <w:rPr>
                <w:rFonts w:cstheme="minorHAnsi"/>
                <w:szCs w:val="22"/>
              </w:rPr>
              <w:t>competent authority</w:t>
            </w:r>
            <w:r w:rsidRPr="00AF646D">
              <w:rPr>
                <w:rFonts w:cstheme="minorHAnsi"/>
                <w:lang w:val="en-GB"/>
              </w:rPr>
              <w:t>.’</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4.1.13 As part of the procedures contained in the OM (point 4.1.1 above), include the description of the following:</w:t>
            </w:r>
          </w:p>
        </w:tc>
        <w:tc>
          <w:tcPr>
            <w:tcW w:w="3686" w:type="dxa"/>
            <w:gridSpan w:val="2"/>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268"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1021"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 xml:space="preserve">(a) </w:t>
            </w:r>
            <w:r w:rsidRPr="00AF646D">
              <w:t>T</w:t>
            </w:r>
            <w:r w:rsidRPr="00AF646D">
              <w:rPr>
                <w:rFonts w:cstheme="minorHAnsi"/>
              </w:rPr>
              <w:t>he method and means of communication with the authority or entity responsible for the management of the airspace during the entire period of the reserved or segregated airspace being active, as mandated by the authorisation.</w:t>
            </w:r>
          </w:p>
          <w:p w:rsidR="004676FC" w:rsidRPr="00AF646D" w:rsidRDefault="004676FC" w:rsidP="00816DF3">
            <w:pPr>
              <w:spacing w:before="120"/>
              <w:ind w:hanging="28"/>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i/>
              </w:rPr>
              <w:t>Note: The communication method should be published in the NOTAM activating the reserved airspace to also allow coordination with manned aircraft.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evidence is available to the </w:t>
            </w:r>
            <w:r w:rsidRPr="00AF646D">
              <w:rPr>
                <w:rFonts w:cstheme="minorHAnsi"/>
                <w:szCs w:val="22"/>
              </w:rPr>
              <w:t xml:space="preserve">competent authority </w:t>
            </w:r>
            <w:r w:rsidRPr="00AF646D">
              <w:rPr>
                <w:rFonts w:cstheme="minorHAnsi"/>
                <w:lang w:val="en-GB"/>
              </w:rPr>
              <w:t>for review.’</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1021"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(b) The member(s) of personnel in charge of duties essential to the UAS operation, who are responsible for establishing that communication.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‘I declare compliance and that evidence is available to the </w:t>
            </w:r>
            <w:r w:rsidRPr="00AF646D">
              <w:rPr>
                <w:rFonts w:cstheme="minorHAnsi"/>
                <w:szCs w:val="22"/>
              </w:rPr>
              <w:t xml:space="preserve">competent authority </w:t>
            </w:r>
            <w:r w:rsidRPr="00AF646D">
              <w:rPr>
                <w:rFonts w:cstheme="minorHAnsi"/>
                <w:lang w:val="en-GB"/>
              </w:rPr>
              <w:t>for review.’</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UAS maintenance</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ListParagraph"/>
              <w:numPr>
                <w:ilvl w:val="1"/>
                <w:numId w:val="36"/>
              </w:numPr>
              <w:tabs>
                <w:tab w:val="left" w:pos="1026"/>
              </w:tabs>
              <w:spacing w:before="120" w:after="120"/>
              <w:ind w:left="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The UAS operator should: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spacing w:before="120" w:after="120"/>
              <w:ind w:left="879"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4.2.1 ensure that</w:t>
            </w:r>
            <w:r w:rsidRPr="00AF646D">
              <w:t xml:space="preserve"> </w:t>
            </w:r>
            <w:r w:rsidRPr="00AF646D">
              <w:rPr>
                <w:rFonts w:cstheme="minorHAnsi"/>
              </w:rPr>
              <w:t>the UAS maintenance instructions that are defined by the UAS operator are included in the OM and cover at least the UAS manufacturer’s instructions and requirements when applicable</w:t>
            </w:r>
            <w:r w:rsidRPr="00AF646D">
              <w:rPr>
                <w:rFonts w:cstheme="minorHAnsi"/>
                <w:strike/>
                <w:color w:val="FF0000"/>
              </w:rPr>
              <w:t>.</w:t>
            </w:r>
            <w:r w:rsidRPr="00AF646D">
              <w:rPr>
                <w:rFonts w:cstheme="minorHAnsi"/>
              </w:rPr>
              <w:t>;</w:t>
            </w:r>
            <w:r w:rsidRPr="00AF646D">
              <w:rPr>
                <w:rFonts w:cstheme="minorHAnsi"/>
                <w:color w:val="FF0000"/>
              </w:rPr>
              <w:t xml:space="preserve"> </w:t>
            </w:r>
            <w:r w:rsidRPr="00AF646D">
              <w:rPr>
                <w:rFonts w:cstheme="minorHAnsi"/>
                <w:color w:val="000000" w:themeColor="text1"/>
              </w:rPr>
              <w:t>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lang w:val="en-GB"/>
              </w:rPr>
              <w:t xml:space="preserve">4.2.2 </w:t>
            </w:r>
            <w:r w:rsidRPr="00AF646D">
              <w:rPr>
                <w:rFonts w:cstheme="minorHAnsi"/>
                <w:lang w:val="en-GB"/>
              </w:rPr>
              <w:t>ensure that</w:t>
            </w:r>
            <w:r w:rsidRPr="00AF646D">
              <w:t xml:space="preserve"> </w:t>
            </w:r>
            <w:r w:rsidRPr="00AF646D">
              <w:rPr>
                <w:rFonts w:cstheme="minorHAnsi"/>
                <w:szCs w:val="20"/>
                <w:lang w:val="en-GB"/>
              </w:rPr>
              <w:t xml:space="preserve">the maintenance staff follow the UAS maintenance instructions when performing </w:t>
            </w:r>
            <w:proofErr w:type="gramStart"/>
            <w:r w:rsidRPr="00AF646D">
              <w:rPr>
                <w:rFonts w:cstheme="minorHAnsi"/>
                <w:szCs w:val="20"/>
                <w:lang w:val="en-GB"/>
              </w:rPr>
              <w:t>maintenance;</w:t>
            </w:r>
            <w:r w:rsidRPr="00AF646D">
              <w:rPr>
                <w:rFonts w:cstheme="minorHAnsi"/>
                <w:strike/>
                <w:color w:val="FF0000"/>
                <w:szCs w:val="20"/>
                <w:lang w:val="en-GB"/>
              </w:rPr>
              <w:t>.</w:t>
            </w:r>
            <w:proofErr w:type="gramEnd"/>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596" w:hanging="409"/>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4.2.3 keep for a minimum of 3 years and maintain up to date a record of the maintenance activities conducted on the UAS;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4.2.4 establish and keep up to date a list of the maintenance staff employed by the operator to carry out maintenance activities;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33"/>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596"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4.2.5 comply with point UAS.SPEC.100, if the UAS uses certified equipment.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 or indicate ‘n/a’.</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442"/>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External services</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4.3 The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441"/>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4.4 The UAS operator should define and allocate the roles and responsibilities between the UAS operator and the external service provider(s), if applicable.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Normal0"/>
              <w:ind w:left="312" w:hanging="312"/>
              <w:rPr>
                <w:rStyle w:val="Bold"/>
                <w:rFonts w:cstheme="minorHAnsi"/>
                <w:b/>
                <w:bCs/>
                <w:lang w:val="en-GB"/>
              </w:rPr>
            </w:pPr>
            <w:r w:rsidRPr="00AF646D">
              <w:rPr>
                <w:rStyle w:val="Bold"/>
                <w:rFonts w:cstheme="minorHAnsi"/>
                <w:b/>
                <w:bCs/>
                <w:lang w:val="en-GB"/>
              </w:rPr>
              <w:t>5. Conditions for the personnel in charge of duties essential to the UAS operation</w:t>
            </w:r>
          </w:p>
        </w:tc>
        <w:tc>
          <w:tcPr>
            <w:tcW w:w="1591" w:type="dxa"/>
          </w:tcPr>
          <w:p w:rsidR="004676FC" w:rsidRPr="00AF646D" w:rsidRDefault="004676FC" w:rsidP="00816DF3">
            <w:pPr>
              <w:pStyle w:val="TableNormal0"/>
              <w:ind w:left="312" w:hanging="312"/>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p>
        </w:tc>
        <w:tc>
          <w:tcPr>
            <w:tcW w:w="1417" w:type="dxa"/>
            <w:gridSpan w:val="2"/>
            <w:vMerge w:val="restart"/>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5.4</w:t>
            </w:r>
            <w:r w:rsidRPr="00AF646D">
              <w:rPr>
                <w:rFonts w:cstheme="minorHAnsi"/>
                <w:lang w:val="en-GB"/>
              </w:rPr>
              <w:t xml:space="preserve"> </w:t>
            </w:r>
            <w:r w:rsidRPr="00AF646D">
              <w:rPr>
                <w:rFonts w:cstheme="minorHAnsi"/>
                <w:szCs w:val="20"/>
                <w:lang w:val="en-GB"/>
              </w:rPr>
              <w:t>The remote pilot should:</w:t>
            </w:r>
          </w:p>
        </w:tc>
        <w:tc>
          <w:tcPr>
            <w:tcW w:w="3686"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spacing w:before="12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5.4.1 not perform duties under the influence of psychoactive substances or alcohol, or when they are unfit to perform their tasks due to injury, fatigue, medication, sickness or other causes;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spacing w:before="12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5.4.2</w:t>
            </w:r>
            <w:r w:rsidRPr="00AF646D">
              <w:rPr>
                <w:rFonts w:cstheme="minorHAnsi"/>
              </w:rPr>
              <w:t xml:space="preserve"> be familiar with the manufacturer’s instructions provided by the manufacturer of the UAS;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spacing w:before="12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5.4.3 ensure that the UA remains clear of clouds;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tabs>
                <w:tab w:val="clear" w:pos="567"/>
                <w:tab w:val="left" w:pos="888"/>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5.4.4</w:t>
            </w:r>
            <w:r w:rsidRPr="00AF646D">
              <w:rPr>
                <w:rFonts w:cstheme="minorHAnsi"/>
                <w:lang w:val="en-GB"/>
              </w:rPr>
              <w:tab/>
            </w:r>
            <w:r w:rsidRPr="00AF646D">
              <w:rPr>
                <w:rFonts w:cstheme="minorHAnsi"/>
                <w:szCs w:val="20"/>
                <w:lang w:val="en-GB"/>
              </w:rPr>
              <w:t>perform unaided visual scan of the airspace, as required, to avoid any potential collision hazard;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tabs>
                <w:tab w:val="clear" w:pos="567"/>
                <w:tab w:val="left" w:pos="888"/>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rPr>
              <w:t>5.4.5 obtain updated information relevant to the intended operation about any geographical zones defined in accordance with Article 15;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1"/>
              <w:tabs>
                <w:tab w:val="clear" w:pos="567"/>
                <w:tab w:val="left" w:pos="888"/>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rPr>
              <w:t>5.4.6 ensure that the UAS is in a safe condition to complete the intended flight safely and, if applicable, check whether the direct remote identification is active and up to date.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szCs w:val="20"/>
                <w:lang w:val="en-GB"/>
              </w:rPr>
              <w:t>Multi-crew cooperation (MCC)</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ListLevel0"/>
              <w:tabs>
                <w:tab w:val="clear" w:pos="567"/>
              </w:tabs>
              <w:spacing w:before="120" w:line="240" w:lineRule="auto"/>
              <w:ind w:left="0" w:firstLine="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Where multi-crew cooperation (MCC) may be required, the UAS operator should:</w:t>
            </w:r>
          </w:p>
        </w:tc>
        <w:tc>
          <w:tcPr>
            <w:tcW w:w="3686"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2"/>
              <w:tabs>
                <w:tab w:val="clear" w:pos="567"/>
              </w:tabs>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5.5 designate a remote pilot-in-command to be responsible for each flight;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2"/>
              <w:tabs>
                <w:tab w:val="clear" w:pos="567"/>
                <w:tab w:val="left" w:pos="1843"/>
              </w:tabs>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5.6</w:t>
            </w:r>
            <w:r w:rsidRPr="00AF646D">
              <w:rPr>
                <w:rFonts w:cstheme="minorHAnsi"/>
                <w:lang w:val="en-GB"/>
              </w:rPr>
              <w:t xml:space="preserve"> i</w:t>
            </w:r>
            <w:r w:rsidRPr="00AF646D">
              <w:rPr>
                <w:rFonts w:cstheme="minorHAnsi"/>
                <w:szCs w:val="20"/>
                <w:lang w:val="en-GB"/>
              </w:rPr>
              <w:t>nclude procedures to ensure coordination between the remote crew members through robust and effective communication channels; those procedures should cover, as a minimum:</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3"/>
              <w:tabs>
                <w:tab w:val="clear" w:pos="567"/>
              </w:tabs>
              <w:spacing w:before="120"/>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5.6.1 the assignment of tasks to the remote crew members;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ListLevel3"/>
              <w:tabs>
                <w:tab w:val="clear" w:pos="567"/>
              </w:tabs>
              <w:spacing w:before="120"/>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5.6.2 the establishment of step-by-step communication;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5.7 ensure that the training of the remote crew covers MCC.</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 otherwise indicate ‘n/a’.</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szCs w:val="20"/>
                <w:lang w:val="en-GB"/>
              </w:rPr>
              <w:t>Maintenance staff</w:t>
            </w:r>
          </w:p>
        </w:tc>
        <w:tc>
          <w:tcPr>
            <w:tcW w:w="1417" w:type="dxa"/>
            <w:gridSpan w:val="2"/>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Declaration supported by data</w:t>
            </w:r>
          </w:p>
        </w:tc>
        <w:tc>
          <w:tcPr>
            <w:tcW w:w="3971" w:type="dxa"/>
            <w:gridSpan w:val="3"/>
          </w:tcPr>
          <w:p w:rsidR="004676FC" w:rsidRPr="00AF646D" w:rsidRDefault="004676FC" w:rsidP="000B360A">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szCs w:val="20"/>
                <w:lang w:val="en-GB"/>
              </w:rPr>
              <w:t>5.8 Any staff member that is authorised by the UAS operator to perform maintenance activities should have been adequately trained in the documented maintenance procedures.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and that supporting evidence is included in the OM.’</w:t>
            </w:r>
          </w:p>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szCs w:val="20"/>
              </w:rPr>
              <w:t>Evidence of training is available at the request of the competent authority.</w:t>
            </w:r>
          </w:p>
        </w:tc>
        <w:tc>
          <w:tcPr>
            <w:tcW w:w="1587" w:type="dxa"/>
          </w:tcPr>
          <w:p w:rsidR="004676FC" w:rsidRPr="00AF646D" w:rsidRDefault="004676FC" w:rsidP="00816DF3">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72"/>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Personnel in charge of duties essential to the UAS operation are fit to operate</w:t>
            </w:r>
          </w:p>
        </w:tc>
        <w:tc>
          <w:tcPr>
            <w:tcW w:w="1417"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0B360A">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AF646D">
              <w:rPr>
                <w:rFonts w:cstheme="minorHAnsi"/>
                <w:lang w:val="en-GB"/>
              </w:rPr>
              <w:t xml:space="preserve">5.9 The personnel in charge of duties essential to the UAS operation should declare that they are fit to operate before conducting any </w:t>
            </w:r>
            <w:r w:rsidRPr="00AF646D">
              <w:rPr>
                <w:rFonts w:cstheme="minorHAnsi"/>
                <w:szCs w:val="20"/>
                <w:lang w:val="en-GB"/>
              </w:rPr>
              <w:t>operation</w:t>
            </w:r>
            <w:r w:rsidRPr="00AF646D">
              <w:rPr>
                <w:rFonts w:cstheme="minorHAnsi"/>
                <w:lang w:val="en-GB"/>
              </w:rPr>
              <w:t>, based on the policy that is defined by the UAS operator.</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c>
          <w:tcPr>
            <w:cnfStyle w:val="001000000000" w:firstRow="0" w:lastRow="0" w:firstColumn="1" w:lastColumn="0" w:oddVBand="0" w:evenVBand="0" w:oddHBand="0" w:evenHBand="0" w:firstRowFirstColumn="0" w:firstRowLastColumn="0" w:lastRowFirstColumn="0" w:lastRowLastColumn="0"/>
            <w:tcW w:w="12900" w:type="dxa"/>
            <w:gridSpan w:val="9"/>
          </w:tcPr>
          <w:p w:rsidR="004676FC" w:rsidRPr="00AF646D" w:rsidRDefault="004676FC" w:rsidP="00816DF3">
            <w:pPr>
              <w:pStyle w:val="TableNormal0"/>
              <w:rPr>
                <w:rStyle w:val="Bold"/>
                <w:rFonts w:cstheme="minorHAnsi"/>
                <w:b/>
                <w:bCs/>
                <w:lang w:val="en-GB"/>
              </w:rPr>
            </w:pPr>
            <w:r w:rsidRPr="00AF646D">
              <w:rPr>
                <w:rStyle w:val="Bold"/>
                <w:rFonts w:cstheme="minorHAnsi"/>
                <w:b/>
                <w:bCs/>
                <w:lang w:val="en-GB"/>
              </w:rPr>
              <w:t>6. Technical conditions</w:t>
            </w:r>
          </w:p>
        </w:tc>
        <w:tc>
          <w:tcPr>
            <w:tcW w:w="1591"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4676FC" w:rsidRPr="00AF646D" w:rsidTr="004676FC">
        <w:trPr>
          <w:trHeight w:val="313"/>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General</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eastAsia="en-US"/>
              </w:rPr>
            </w:pPr>
            <w:r w:rsidRPr="00AF646D">
              <w:rPr>
                <w:rFonts w:cstheme="minorHAnsi"/>
                <w:lang w:val="en-GB"/>
              </w:rPr>
              <w:t>Self-declaration</w:t>
            </w:r>
          </w:p>
        </w:tc>
        <w:tc>
          <w:tcPr>
            <w:tcW w:w="3971" w:type="dxa"/>
            <w:gridSpan w:val="3"/>
          </w:tcPr>
          <w:p w:rsidR="004676FC" w:rsidRPr="00AF646D" w:rsidRDefault="004676FC" w:rsidP="00816DF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 The UAS should be equipped with means to monitor the critical parameters of a safe flight, in particular the following:</w:t>
            </w:r>
          </w:p>
        </w:tc>
        <w:tc>
          <w:tcPr>
            <w:tcW w:w="3686" w:type="dxa"/>
            <w:gridSpan w:val="2"/>
          </w:tcPr>
          <w:p w:rsidR="004676FC" w:rsidRPr="00AF646D" w:rsidRDefault="004676FC" w:rsidP="00816DF3">
            <w:pPr>
              <w:cnfStyle w:val="000000000000" w:firstRow="0" w:lastRow="0" w:firstColumn="0" w:lastColumn="0" w:oddVBand="0" w:evenVBand="0" w:oddHBand="0" w:evenHBand="0" w:firstRowFirstColumn="0" w:firstRowLastColumn="0" w:lastRowFirstColumn="0" w:lastRowLastColumn="0"/>
              <w:rPr>
                <w:rFonts w:cstheme="minorHAnsi"/>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09"/>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6.1.1 the UA position, height or altitude, ground speed or airspeed, attitude and trajectory;</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09"/>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6.1.2 the UAS energy status (fuel, battery charge, etc.);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09"/>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6.1.3 the status of critical functions and systems; as a minimum, for services based on RF signals (</w:t>
            </w:r>
            <w:proofErr w:type="gramStart"/>
            <w:r w:rsidRPr="00AF646D">
              <w:rPr>
                <w:rFonts w:cstheme="minorHAnsi"/>
                <w:lang w:val="en-GB"/>
              </w:rPr>
              <w:t>e.g.</w:t>
            </w:r>
            <w:proofErr w:type="gramEnd"/>
            <w:r w:rsidRPr="00AF646D">
              <w:rPr>
                <w:rFonts w:cstheme="minorHAnsi"/>
                <w:lang w:val="en-GB"/>
              </w:rPr>
              <w:t xml:space="preserve"> C2 link, GNSS, etc.), means should be provided to monitor the adequate performance and trigger an alert when the performance level becomes too low.</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2236"/>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Human–</w:t>
            </w:r>
            <w:r w:rsidRPr="00AF646D">
              <w:rPr>
                <w:rFonts w:cstheme="minorHAnsi"/>
                <w:strike/>
                <w:color w:val="FF0000"/>
                <w:lang w:val="en-GB"/>
              </w:rPr>
              <w:t>-</w:t>
            </w:r>
            <w:r w:rsidRPr="00AF646D">
              <w:rPr>
                <w:rFonts w:cstheme="minorHAnsi"/>
                <w:lang w:val="en-GB"/>
              </w:rPr>
              <w:t>machine interface (HMI)</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0B360A">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 xml:space="preserve">6.2 The UAS information and control interfaces should be clearly and succinctly presented and should not confuse, cause unreasonable fatigue, or </w:t>
            </w:r>
            <w:r w:rsidRPr="00AF646D">
              <w:rPr>
                <w:rFonts w:cstheme="minorHAnsi"/>
                <w:lang w:val="en-GB"/>
              </w:rPr>
              <w:t>contribute</w:t>
            </w:r>
            <w:r w:rsidRPr="00AF646D">
              <w:rPr>
                <w:rFonts w:cstheme="minorHAnsi"/>
              </w:rPr>
              <w:t xml:space="preserve"> to causing any disturbance to the personnel in charge of duties essential to the UAS operation in such a way that could adversely affect the safety of the operation.</w:t>
            </w:r>
          </w:p>
        </w:tc>
        <w:tc>
          <w:tcPr>
            <w:tcW w:w="3686" w:type="dxa"/>
            <w:gridSpan w:val="2"/>
            <w:shd w:val="clear" w:color="auto" w:fill="auto"/>
          </w:tcPr>
          <w:p w:rsidR="004676FC" w:rsidRPr="00AF646D" w:rsidRDefault="004676FC" w:rsidP="00816DF3">
            <w:pPr>
              <w:pStyle w:val="ListLevel1"/>
              <w:tabs>
                <w:tab w:val="clear" w:pos="567"/>
              </w:tabs>
              <w:spacing w:after="0"/>
              <w:ind w:left="54" w:firstLine="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2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6.3 The UAS operator should conduct a UAS evaluation that considers and addresses human factors to determine whether the HMI is appropriate for the operation.</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8"/>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C2 links and communication</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6.4 The UAS should comply with the applicable requirements for radio equipment and the use of the RF spectrum.</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6.5 Protection mechanisms against interference should be used, especially if unlicensed bands (</w:t>
            </w:r>
            <w:proofErr w:type="gramStart"/>
            <w:r w:rsidRPr="00AF646D">
              <w:rPr>
                <w:rFonts w:cstheme="minorHAnsi"/>
                <w:lang w:val="en-GB"/>
              </w:rPr>
              <w:t>e.g.</w:t>
            </w:r>
            <w:proofErr w:type="gramEnd"/>
            <w:r w:rsidRPr="00AF646D">
              <w:rPr>
                <w:rFonts w:cstheme="minorHAnsi"/>
                <w:lang w:val="en-GB"/>
              </w:rPr>
              <w:t xml:space="preserve"> ISM) are used for the C2 link (mechanisms such as FHSS, DSSS or OFDM technologies, or frequency deconfliction by procedure).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 xml:space="preserve">6.6 The UAS should be equipped with a C2 link that is protected </w:t>
            </w:r>
            <w:bookmarkStart w:id="2" w:name="_Hlk90391550"/>
            <w:r w:rsidRPr="00AF646D">
              <w:rPr>
                <w:rFonts w:cstheme="minorHAnsi"/>
              </w:rPr>
              <w:t>against unauthorised access</w:t>
            </w:r>
            <w:bookmarkEnd w:id="2"/>
            <w:r w:rsidRPr="00AF646D">
              <w:rPr>
                <w:rFonts w:cstheme="minorHAnsi"/>
              </w:rPr>
              <w:t xml:space="preserve"> to the command-and-control functions.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6.7</w:t>
            </w:r>
            <w:bookmarkStart w:id="3" w:name="_Hlk90391638"/>
            <w:r w:rsidRPr="00AF646D">
              <w:rPr>
                <w:rFonts w:cstheme="minorHAnsi"/>
              </w:rPr>
              <w:t xml:space="preserve"> In case of loss of the C2 link, the UAS should have a reliable and predictable method to recover the command-and-control link of the UA or to terminate the flight in a way that reduces any undesirable effect on third parties in the air or on the ground</w:t>
            </w:r>
            <w:bookmarkEnd w:id="3"/>
            <w:r w:rsidRPr="00AF646D">
              <w:rPr>
                <w:rFonts w:cstheme="minorHAnsi"/>
              </w:rPr>
              <w: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6"/>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6.8 The UAS operator should ensure that reliable and continuous means of two-way communication for the purpose that is indicated in point 4.13(a) above are available.</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368"/>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 xml:space="preserve">Tactical mitigation </w:t>
            </w:r>
          </w:p>
        </w:tc>
        <w:tc>
          <w:tcPr>
            <w:tcW w:w="1417" w:type="dxa"/>
            <w:gridSpan w:val="2"/>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n/a</w:t>
            </w:r>
          </w:p>
        </w:tc>
        <w:tc>
          <w:tcPr>
            <w:tcW w:w="3686"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36"/>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Containment</w:t>
            </w:r>
          </w:p>
        </w:tc>
        <w:tc>
          <w:tcPr>
            <w:tcW w:w="1417" w:type="dxa"/>
            <w:gridSpan w:val="2"/>
            <w:vMerge w:val="restart"/>
            <w:vAlign w:val="center"/>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i/>
                <w:lang w:val="en-GB"/>
              </w:rPr>
            </w:pPr>
            <w:r w:rsidRPr="00AF646D">
              <w:rPr>
                <w:rFonts w:cstheme="minorHAnsi"/>
                <w:lang w:val="en-GB"/>
              </w:rPr>
              <w:t>Declaration supported by data</w:t>
            </w:r>
          </w:p>
        </w:tc>
        <w:tc>
          <w:tcPr>
            <w:tcW w:w="3971" w:type="dxa"/>
            <w:gridSpan w:val="3"/>
          </w:tcPr>
          <w:p w:rsidR="004676FC" w:rsidRPr="00AF646D" w:rsidRDefault="004676FC" w:rsidP="00816DF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6.9 To ensure a safe recovery from a technical issue that involves the UAS or an external system that supports the operation, the UAS operator should ensure that:</w:t>
            </w:r>
          </w:p>
        </w:tc>
        <w:tc>
          <w:tcPr>
            <w:tcW w:w="3686" w:type="dxa"/>
            <w:gridSpan w:val="2"/>
          </w:tcPr>
          <w:p w:rsidR="004676FC" w:rsidRPr="00AF646D" w:rsidRDefault="004676FC" w:rsidP="00816DF3">
            <w:pPr>
              <w:ind w:left="567"/>
              <w:cnfStyle w:val="000000000000" w:firstRow="0" w:lastRow="0" w:firstColumn="0" w:lastColumn="0" w:oddVBand="0" w:evenVBand="0" w:oddHBand="0" w:evenHBand="0" w:firstRowFirstColumn="0" w:firstRowLastColumn="0" w:lastRowFirstColumn="0" w:lastRowLastColumn="0"/>
              <w:rPr>
                <w:rFonts w:cstheme="minorHAnsi"/>
                <w:i/>
              </w:rPr>
            </w:pPr>
          </w:p>
        </w:tc>
        <w:tc>
          <w:tcPr>
            <w:tcW w:w="2268"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6.9.1 no probable failure of the UAS or of any external system that supports the operation would lead to operation outside the operational volume;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vMerge w:val="restart"/>
            <w:shd w:val="clear" w:color="auto" w:fill="auto"/>
          </w:tcPr>
          <w:p w:rsidR="004676FC" w:rsidRPr="00AF646D" w:rsidRDefault="004676FC" w:rsidP="00816DF3">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p w:rsidR="004676FC" w:rsidRPr="00AF646D" w:rsidRDefault="004676FC" w:rsidP="00816DF3">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A design and installation appraisal </w:t>
            </w:r>
            <w:proofErr w:type="gramStart"/>
            <w:r w:rsidRPr="00AF646D">
              <w:rPr>
                <w:rFonts w:cstheme="minorHAnsi"/>
                <w:lang w:val="en-GB"/>
              </w:rPr>
              <w:t>is</w:t>
            </w:r>
            <w:proofErr w:type="gramEnd"/>
            <w:r w:rsidRPr="00AF646D">
              <w:rPr>
                <w:rFonts w:cstheme="minorHAnsi"/>
                <w:lang w:val="en-GB"/>
              </w:rPr>
              <w:t xml:space="preserve"> available and it covers at least:</w:t>
            </w:r>
          </w:p>
          <w:p w:rsidR="004676FC" w:rsidRPr="00AF646D" w:rsidRDefault="004676FC" w:rsidP="00816DF3">
            <w:pPr>
              <w:pStyle w:val="TableNormal0"/>
              <w:numPr>
                <w:ilvl w:val="0"/>
                <w:numId w:val="45"/>
              </w:numPr>
              <w:spacing w:after="120"/>
              <w:ind w:left="3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the design and installation features (independence, separation, and redundancy); and</w:t>
            </w:r>
          </w:p>
          <w:p w:rsidR="004676FC" w:rsidRPr="00AF646D" w:rsidRDefault="004676FC" w:rsidP="00816DF3">
            <w:pPr>
              <w:pStyle w:val="TableNormal0"/>
              <w:numPr>
                <w:ilvl w:val="0"/>
                <w:numId w:val="45"/>
              </w:numPr>
              <w:spacing w:after="120"/>
              <w:ind w:left="3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the particular risks (</w:t>
            </w:r>
            <w:proofErr w:type="gramStart"/>
            <w:r w:rsidRPr="00AF646D">
              <w:rPr>
                <w:rFonts w:cstheme="minorHAnsi"/>
                <w:lang w:val="en-GB"/>
              </w:rPr>
              <w:t>e.g.</w:t>
            </w:r>
            <w:proofErr w:type="gramEnd"/>
            <w:r w:rsidRPr="00AF646D">
              <w:rPr>
                <w:rFonts w:cstheme="minorHAnsi"/>
                <w:lang w:val="en-GB"/>
              </w:rPr>
              <w:t xml:space="preserve"> hail, ice, snow, electromagnetic interference, etc.) relevant to the type of operation.</w:t>
            </w:r>
          </w:p>
        </w:tc>
        <w:tc>
          <w:tcPr>
            <w:tcW w:w="1587" w:type="dxa"/>
          </w:tcPr>
          <w:p w:rsidR="004676FC" w:rsidRPr="00AF646D" w:rsidRDefault="004676FC" w:rsidP="00816DF3">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6.9.2 it is reasonably expected that a fatality will not occur due to any probable failure of the UAS or of any external system that supports the operation.</w:t>
            </w:r>
          </w:p>
          <w:p w:rsidR="004676FC" w:rsidRPr="00AF646D" w:rsidRDefault="004676FC" w:rsidP="00816DF3">
            <w:pPr>
              <w:spacing w:before="120"/>
              <w:ind w:left="45"/>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i/>
              </w:rPr>
              <w:t xml:space="preserve">Note: The term ‘probable’ should be understood in its qualitative interpretation, </w:t>
            </w:r>
            <w:proofErr w:type="gramStart"/>
            <w:r w:rsidRPr="00AF646D">
              <w:rPr>
                <w:rFonts w:cstheme="minorHAnsi"/>
                <w:i/>
              </w:rPr>
              <w:t>i.e.</w:t>
            </w:r>
            <w:proofErr w:type="gramEnd"/>
            <w:r w:rsidRPr="00AF646D">
              <w:rPr>
                <w:rFonts w:cstheme="minorHAnsi"/>
                <w:i/>
              </w:rPr>
              <w:t xml:space="preserve"> ‘anticipated to occur one or more times during the entire system/operational life of an item’.</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vMerge/>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val="restart"/>
            <w:tcBorders>
              <w:top w:val="single" w:sz="4" w:space="0" w:color="auto"/>
            </w:tcBorders>
          </w:tcPr>
          <w:p w:rsidR="004676FC" w:rsidRPr="00AF646D" w:rsidRDefault="004676FC" w:rsidP="00816DF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Declaration supported by data</w:t>
            </w:r>
          </w:p>
        </w:tc>
        <w:tc>
          <w:tcPr>
            <w:tcW w:w="3971" w:type="dxa"/>
            <w:gridSpan w:val="3"/>
            <w:tcBorders>
              <w:top w:val="single" w:sz="4" w:space="0" w:color="auto"/>
            </w:tcBorders>
          </w:tcPr>
          <w:p w:rsidR="004676FC" w:rsidRPr="00AF646D" w:rsidRDefault="004676FC" w:rsidP="00816DF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6.10</w:t>
            </w:r>
            <w:r w:rsidRPr="00AF646D">
              <w:rPr>
                <w:rFonts w:cstheme="minorHAnsi"/>
                <w:lang w:val="en-GB"/>
              </w:rPr>
              <w:tab/>
              <w:t>The following additional conditions should apply if the adjacent area includes an assembly of people or if the adjacent airspace is classified as ARC-d (in accordance with the SORA):</w:t>
            </w:r>
          </w:p>
        </w:tc>
        <w:tc>
          <w:tcPr>
            <w:tcW w:w="3686" w:type="dxa"/>
            <w:gridSpan w:val="2"/>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268" w:type="dxa"/>
            <w:tcBorders>
              <w:bottom w:val="single" w:sz="4" w:space="0" w:color="auto"/>
            </w:tcBorders>
            <w:vAlign w:val="center"/>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Borders>
              <w:bottom w:val="single" w:sz="4" w:space="0" w:color="auto"/>
            </w:tcBorders>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879"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6.10.1 The UAS should be designed to standards that are considered adequate by the competent authority and/or in accordance with a means of compliance that is acceptable to that competent authority such that: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r w:rsidRPr="00AF646D" w:rsidDel="00991D38">
              <w:rPr>
                <w:rFonts w:cstheme="minorHAnsi"/>
                <w:i/>
                <w:iCs/>
                <w:lang w:val="en-GB"/>
              </w:rPr>
              <w:t xml:space="preserve"> </w:t>
            </w:r>
            <w:r w:rsidRPr="00AF646D">
              <w:rPr>
                <w:rFonts w:cstheme="minorHAnsi"/>
                <w:i/>
                <w:iCs/>
                <w:lang w:val="en-GB"/>
              </w:rPr>
              <w:t>otherwise indicate ‘n/a’.</w:t>
            </w:r>
          </w:p>
        </w:tc>
        <w:tc>
          <w:tcPr>
            <w:tcW w:w="2268" w:type="dxa"/>
            <w:vMerge w:val="restart"/>
            <w:tcBorders>
              <w:top w:val="single" w:sz="4" w:space="0" w:color="auto"/>
            </w:tcBorders>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p w:rsidR="004676FC" w:rsidRPr="00AF646D" w:rsidRDefault="004676FC" w:rsidP="00816DF3">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Analysis and/or test data with supporting evidence is available.</w:t>
            </w:r>
          </w:p>
          <w:p w:rsidR="004676FC" w:rsidRPr="00AF646D" w:rsidRDefault="004676FC" w:rsidP="00816DF3">
            <w:pPr>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p>
          <w:p w:rsidR="004676FC" w:rsidRPr="00AF646D" w:rsidRDefault="004676FC" w:rsidP="00816DF3">
            <w:pPr>
              <w:jc w:val="center"/>
              <w:cnfStyle w:val="000000000000" w:firstRow="0" w:lastRow="0" w:firstColumn="0" w:lastColumn="0" w:oddVBand="0" w:evenVBand="0" w:oddHBand="0" w:evenHBand="0" w:firstRowFirstColumn="0" w:firstRowLastColumn="0" w:lastRowFirstColumn="0" w:lastRowLastColumn="0"/>
              <w:rPr>
                <w:lang w:eastAsia="de-DE"/>
              </w:rPr>
            </w:pPr>
          </w:p>
        </w:tc>
        <w:tc>
          <w:tcPr>
            <w:tcW w:w="1587" w:type="dxa"/>
            <w:tcBorders>
              <w:top w:val="single" w:sz="4" w:space="0" w:color="auto"/>
            </w:tcBorders>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1304"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6.10.1.1 the probability of the UA leaving the operational volume should be less than 10</w:t>
            </w:r>
            <w:r w:rsidRPr="00AF646D">
              <w:rPr>
                <w:rFonts w:cstheme="minorHAnsi"/>
                <w:vertAlign w:val="superscript"/>
              </w:rPr>
              <w:t>–4</w:t>
            </w:r>
            <w:r w:rsidRPr="00AF646D">
              <w:rPr>
                <w:rFonts w:cstheme="minorHAnsi"/>
              </w:rPr>
              <w:t>/FH; and</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r w:rsidRPr="00AF646D" w:rsidDel="00991D38">
              <w:rPr>
                <w:rFonts w:cstheme="minorHAnsi"/>
                <w:i/>
                <w:iCs/>
                <w:lang w:val="en-GB"/>
              </w:rPr>
              <w:t xml:space="preserve"> </w:t>
            </w:r>
            <w:r w:rsidRPr="00AF646D">
              <w:rPr>
                <w:rFonts w:cstheme="minorHAnsi"/>
                <w:i/>
                <w:iCs/>
                <w:lang w:val="en-GB"/>
              </w:rPr>
              <w:t>otherwise indicate ‘n/a’.</w:t>
            </w:r>
          </w:p>
        </w:tc>
        <w:tc>
          <w:tcPr>
            <w:tcW w:w="2268" w:type="dxa"/>
            <w:vMerge/>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1304"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 10.1.2 no single failure of the UAS or of any external system that supports the operation should lead to operation outside the ground risk buffer.</w:t>
            </w:r>
          </w:p>
          <w:p w:rsidR="004676FC" w:rsidRPr="00AF646D" w:rsidRDefault="004676FC" w:rsidP="00816DF3">
            <w:pPr>
              <w:pStyle w:val="TableNormal0"/>
              <w:spacing w:before="120"/>
              <w:ind w:left="28"/>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lang w:val="en-GB"/>
              </w:rPr>
              <w:t>Note: The term ‘failure’ should be understood as an occurrence that affects the operation of a component, part, or element in such a way that it can no longer function as intended. Errors may cause failures but are not considered to be failures. Some structural or mechanical failures may be excluded from this criterion if it can be shown that these mechanical parts were designed according to aviation industry best practices.</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r w:rsidRPr="00AF646D" w:rsidDel="00991D38">
              <w:rPr>
                <w:rFonts w:cstheme="minorHAnsi"/>
                <w:i/>
                <w:iCs/>
                <w:lang w:val="en-GB"/>
              </w:rPr>
              <w:t xml:space="preserve"> </w:t>
            </w:r>
            <w:r w:rsidRPr="00AF646D">
              <w:rPr>
                <w:rFonts w:cstheme="minorHAnsi"/>
                <w:i/>
                <w:iCs/>
                <w:lang w:val="en-GB"/>
              </w:rPr>
              <w:t>otherwise indicate ‘n/a’.</w:t>
            </w:r>
          </w:p>
        </w:tc>
        <w:tc>
          <w:tcPr>
            <w:tcW w:w="2268" w:type="dxa"/>
            <w:vMerge/>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AF646D">
              <w:rPr>
                <w:rFonts w:cstheme="minorHAnsi"/>
              </w:rPr>
              <w:t>6.10.2 SW and AEH whose development error(s) could directly lead to operations outside the ground risk buffer should be developed according to an industry standard or methodology that is recognised as adequate by the competent authority.</w:t>
            </w:r>
          </w:p>
          <w:p w:rsidR="004676FC" w:rsidRPr="00AF646D" w:rsidRDefault="004676FC" w:rsidP="00816DF3">
            <w:pPr>
              <w:spacing w:before="120"/>
              <w:ind w:left="28" w:hanging="28"/>
              <w:jc w:val="both"/>
              <w:cnfStyle w:val="000000000000" w:firstRow="0" w:lastRow="0" w:firstColumn="0" w:lastColumn="0" w:oddVBand="0" w:evenVBand="0" w:oddHBand="0" w:evenHBand="0" w:firstRowFirstColumn="0" w:firstRowLastColumn="0" w:lastRowFirstColumn="0" w:lastRowLastColumn="0"/>
              <w:rPr>
                <w:rFonts w:cstheme="minorHAnsi"/>
                <w:i/>
              </w:rPr>
            </w:pPr>
            <w:r w:rsidRPr="00AF646D">
              <w:rPr>
                <w:rFonts w:cstheme="minorHAnsi"/>
                <w:i/>
              </w:rPr>
              <w:t>Note 1: The proposed additional safety conditions cover both the integrity and the assurance levels.</w:t>
            </w:r>
          </w:p>
          <w:p w:rsidR="004676FC" w:rsidRPr="00AF646D" w:rsidRDefault="004676FC" w:rsidP="00816DF3">
            <w:pPr>
              <w:spacing w:before="120"/>
              <w:ind w:left="28" w:hanging="28"/>
              <w:jc w:val="both"/>
              <w:cnfStyle w:val="000000000000" w:firstRow="0" w:lastRow="0" w:firstColumn="0" w:lastColumn="0" w:oddVBand="0" w:evenVBand="0" w:oddHBand="0" w:evenHBand="0" w:firstRowFirstColumn="0" w:firstRowLastColumn="0" w:lastRowFirstColumn="0" w:lastRowLastColumn="0"/>
              <w:rPr>
                <w:rFonts w:cstheme="minorHAnsi"/>
                <w:i/>
              </w:rPr>
            </w:pPr>
            <w:r w:rsidRPr="00AF646D">
              <w:rPr>
                <w:rFonts w:cstheme="minorHAnsi"/>
                <w:i/>
              </w:rPr>
              <w:t xml:space="preserve">Note 2: The proposed additional safety conditions do not imply a systematic need to develop the SW and AEH according to an industry standard or methodology that Is recognised as adequate by the competent authority. For instance, if the UA design includes an </w:t>
            </w:r>
            <w:r w:rsidRPr="00AF646D">
              <w:rPr>
                <w:rFonts w:cstheme="minorHAnsi"/>
                <w:i/>
                <w:u w:val="single"/>
              </w:rPr>
              <w:t>independent</w:t>
            </w:r>
            <w:r w:rsidRPr="00AF646D">
              <w:rPr>
                <w:rFonts w:cstheme="minorHAnsi"/>
                <w:i/>
              </w:rPr>
              <w:t xml:space="preserve"> engine shutdown function that systematically prevents the UA from exiting the ground risk buffer due to single failures or an SW/AEH error of the flight controls</w:t>
            </w:r>
            <w:r w:rsidRPr="00AF646D">
              <w:rPr>
                <w:rFonts w:cstheme="minorHAnsi"/>
                <w:i/>
                <w:iCs/>
              </w:rPr>
              <w:t xml:space="preserve"> from occurring</w:t>
            </w:r>
            <w:r w:rsidRPr="00AF646D">
              <w:rPr>
                <w:rFonts w:cstheme="minorHAnsi"/>
                <w:i/>
              </w:rPr>
              <w:t>, the intent of the conditions of point 6.10.1 above could be considered met.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include a reference to the relevant chapter/section of the OM</w:t>
            </w:r>
            <w:r w:rsidRPr="00AF646D" w:rsidDel="00991D38">
              <w:rPr>
                <w:rFonts w:cstheme="minorHAnsi"/>
                <w:i/>
                <w:iCs/>
                <w:lang w:val="en-GB"/>
              </w:rPr>
              <w:t xml:space="preserve"> </w:t>
            </w:r>
            <w:r w:rsidRPr="00AF646D">
              <w:rPr>
                <w:rFonts w:cstheme="minorHAnsi"/>
                <w:i/>
                <w:iCs/>
                <w:lang w:val="en-GB"/>
              </w:rPr>
              <w:t>or indicate ‘n/a’.</w:t>
            </w:r>
          </w:p>
        </w:tc>
        <w:tc>
          <w:tcPr>
            <w:tcW w:w="2268" w:type="dxa"/>
            <w:vMerge/>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val="restart"/>
          </w:tcPr>
          <w:p w:rsidR="004676FC" w:rsidRPr="00AF646D" w:rsidRDefault="004676FC" w:rsidP="00816DF3">
            <w:pPr>
              <w:pStyle w:val="TableNormal0"/>
              <w:rPr>
                <w:rFonts w:cstheme="minorHAnsi"/>
                <w:lang w:val="en-GB"/>
              </w:rPr>
            </w:pPr>
            <w:r w:rsidRPr="00AF646D">
              <w:rPr>
                <w:rFonts w:cstheme="minorHAnsi"/>
                <w:lang w:val="en-GB"/>
              </w:rPr>
              <w:t>Remote identification</w:t>
            </w:r>
          </w:p>
        </w:tc>
        <w:tc>
          <w:tcPr>
            <w:tcW w:w="1417" w:type="dxa"/>
            <w:gridSpan w:val="2"/>
            <w:vMerge w:val="restart"/>
            <w:vAlign w:val="center"/>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ListLevel1"/>
              <w:tabs>
                <w:tab w:val="clear" w:pos="567"/>
              </w:tabs>
              <w:spacing w:before="120" w:line="240" w:lineRule="auto"/>
              <w:ind w:left="454" w:hanging="454"/>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6.11 The UAS has a unique serial number compliant with standard ANSI/CTA-2063-A-2019, </w:t>
            </w:r>
            <w:r w:rsidRPr="00AF646D">
              <w:rPr>
                <w:rFonts w:cstheme="minorHAnsi"/>
                <w:i/>
                <w:iCs/>
                <w:lang w:val="en-GB"/>
              </w:rPr>
              <w:t>Small Unmanned Aerial Systems Serial Numbers</w:t>
            </w:r>
            <w:r w:rsidRPr="00AF646D">
              <w:rPr>
                <w:rFonts w:cstheme="minorHAnsi"/>
                <w:lang w:val="en-GB"/>
              </w:rPr>
              <w:t>, 2019,</w:t>
            </w:r>
            <w:r w:rsidRPr="00AF646D">
              <w:rPr>
                <w:rFonts w:cstheme="minorHAnsi"/>
              </w:rPr>
              <w:t xml:space="preserve"> according to Article 40(4) of Regulation (EU) 2019/945</w:t>
            </w:r>
            <w:r w:rsidRPr="00AF646D">
              <w:rPr>
                <w:rFonts w:cstheme="minorHAnsi"/>
                <w:lang w:val="en-GB"/>
              </w:rPr>
              <w: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AF646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vMerge/>
          </w:tcPr>
          <w:p w:rsidR="004676FC" w:rsidRPr="00AF646D" w:rsidRDefault="004676FC" w:rsidP="00816DF3">
            <w:pPr>
              <w:pStyle w:val="TableNormal0"/>
              <w:rPr>
                <w:rFonts w:cstheme="minorHAnsi"/>
                <w:lang w:val="en-GB"/>
              </w:rPr>
            </w:pPr>
          </w:p>
        </w:tc>
        <w:tc>
          <w:tcPr>
            <w:tcW w:w="1417" w:type="dxa"/>
            <w:gridSpan w:val="2"/>
            <w:vMerge/>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6.12</w:t>
            </w:r>
            <w:r w:rsidRPr="00AF646D">
              <w:rPr>
                <w:rFonts w:cstheme="minorHAnsi"/>
                <w:lang w:val="en-GB"/>
              </w:rPr>
              <w:tab/>
              <w:t xml:space="preserve">The UAS is equipped with a remote identification system </w:t>
            </w:r>
            <w:r w:rsidRPr="00AF646D">
              <w:rPr>
                <w:rFonts w:cstheme="minorHAnsi"/>
              </w:rPr>
              <w:t>according to Article 40(5) of Regulation (EU) 2019/945</w:t>
            </w:r>
            <w:r w:rsidRPr="00AF646D">
              <w:rPr>
                <w:rFonts w:cstheme="minorHAnsi"/>
                <w:lang w:val="en-GB"/>
              </w:rPr>
              <w:t xml:space="preserve">. </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i/>
                <w:iCs/>
                <w:lang w:val="en-GB"/>
              </w:rPr>
              <w:t>Please describe how this condition is met.</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4676FC" w:rsidRPr="00E810CD" w:rsidTr="004676FC">
        <w:trPr>
          <w:trHeight w:val="527"/>
        </w:trPr>
        <w:tc>
          <w:tcPr>
            <w:cnfStyle w:val="001000000000" w:firstRow="0" w:lastRow="0" w:firstColumn="1" w:lastColumn="0" w:oddVBand="0" w:evenVBand="0" w:oddHBand="0" w:evenHBand="0" w:firstRowFirstColumn="0" w:firstRowLastColumn="0" w:lastRowFirstColumn="0" w:lastRowLastColumn="0"/>
            <w:tcW w:w="1558" w:type="dxa"/>
          </w:tcPr>
          <w:p w:rsidR="004676FC" w:rsidRPr="00AF646D" w:rsidRDefault="004676FC" w:rsidP="00816DF3">
            <w:pPr>
              <w:pStyle w:val="TableNormal0"/>
              <w:rPr>
                <w:rFonts w:cstheme="minorHAnsi"/>
                <w:lang w:val="en-GB"/>
              </w:rPr>
            </w:pPr>
            <w:r w:rsidRPr="00AF646D">
              <w:rPr>
                <w:rFonts w:cstheme="minorHAnsi"/>
                <w:lang w:val="en-GB"/>
              </w:rPr>
              <w:t>Lights</w:t>
            </w:r>
          </w:p>
        </w:tc>
        <w:tc>
          <w:tcPr>
            <w:tcW w:w="1417" w:type="dxa"/>
            <w:gridSpan w:val="2"/>
          </w:tcPr>
          <w:p w:rsidR="004676FC" w:rsidRPr="00AF646D" w:rsidRDefault="004676FC" w:rsidP="00816DF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Self-declaration</w:t>
            </w:r>
          </w:p>
        </w:tc>
        <w:tc>
          <w:tcPr>
            <w:tcW w:w="3971" w:type="dxa"/>
            <w:gridSpan w:val="3"/>
          </w:tcPr>
          <w:p w:rsidR="004676FC" w:rsidRPr="00AF646D" w:rsidRDefault="004676FC" w:rsidP="00816DF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 xml:space="preserve">6.13 If the UAS is operated at night, it is equipped with at least one green flashing light </w:t>
            </w:r>
            <w:r w:rsidRPr="00AF646D">
              <w:rPr>
                <w:rFonts w:cstheme="minorHAnsi"/>
              </w:rPr>
              <w:t>according to point UAS.SPEC.050(1)(l)(</w:t>
            </w:r>
            <w:proofErr w:type="spellStart"/>
            <w:r w:rsidRPr="00AF646D">
              <w:rPr>
                <w:rFonts w:cstheme="minorHAnsi"/>
              </w:rPr>
              <w:t>i</w:t>
            </w:r>
            <w:proofErr w:type="spellEnd"/>
            <w:r w:rsidRPr="00AF646D">
              <w:rPr>
                <w:rFonts w:cstheme="minorHAnsi"/>
              </w:rPr>
              <w:t>) of the UAS Regulation</w:t>
            </w:r>
            <w:r w:rsidRPr="00AF646D">
              <w:rPr>
                <w:rFonts w:cstheme="minorHAnsi"/>
                <w:lang w:val="en-GB"/>
              </w:rPr>
              <w:t>.</w:t>
            </w:r>
          </w:p>
        </w:tc>
        <w:tc>
          <w:tcPr>
            <w:tcW w:w="3686" w:type="dxa"/>
            <w:gridSpan w:val="2"/>
            <w:shd w:val="clear" w:color="auto" w:fill="auto"/>
          </w:tcPr>
          <w:p w:rsidR="004676FC" w:rsidRPr="00AF646D" w:rsidRDefault="004676FC" w:rsidP="00816DF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AF646D">
              <w:rPr>
                <w:rFonts w:cstheme="minorHAnsi"/>
                <w:i/>
                <w:iCs/>
                <w:lang w:val="en-GB"/>
              </w:rPr>
              <w:t>Please describe how this condition is met or indicate ‘n/a’.</w:t>
            </w:r>
          </w:p>
        </w:tc>
        <w:tc>
          <w:tcPr>
            <w:tcW w:w="2268" w:type="dxa"/>
            <w:shd w:val="clear" w:color="auto" w:fill="auto"/>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AF646D">
              <w:rPr>
                <w:rFonts w:cstheme="minorHAnsi"/>
                <w:lang w:val="en-GB"/>
              </w:rPr>
              <w:t>‘I declare compliance.’ or ‘n/a’</w:t>
            </w:r>
          </w:p>
        </w:tc>
        <w:tc>
          <w:tcPr>
            <w:tcW w:w="1587" w:type="dxa"/>
          </w:tcPr>
          <w:p w:rsidR="004676FC" w:rsidRPr="00AF646D" w:rsidRDefault="004676FC" w:rsidP="00816DF3">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bl>
    <w:p w:rsidR="001003F8" w:rsidRDefault="001003F8"/>
    <w:p w:rsidR="004676FC" w:rsidRPr="00807B9D" w:rsidRDefault="004676FC" w:rsidP="004676FC">
      <w:pPr>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4676FC" w:rsidRPr="00807B9D" w:rsidTr="002E406B">
        <w:tc>
          <w:tcPr>
            <w:tcW w:w="14601" w:type="dxa"/>
            <w:shd w:val="clear" w:color="auto" w:fill="D9D9D9" w:themeFill="background1" w:themeFillShade="D9"/>
          </w:tcPr>
          <w:p w:rsidR="004676FC" w:rsidRPr="00807B9D" w:rsidRDefault="004676FC" w:rsidP="002E406B">
            <w:pPr>
              <w:rPr>
                <w:rFonts w:ascii="Times New Roman" w:eastAsia="Calibri" w:hAnsi="Times New Roman"/>
                <w:sz w:val="24"/>
                <w:szCs w:val="24"/>
                <w:lang w:val="bg-BG" w:eastAsia="bg-BG"/>
              </w:rPr>
            </w:pPr>
            <w:r w:rsidRPr="00807B9D">
              <w:rPr>
                <w:rFonts w:ascii="Times New Roman" w:eastAsia="Calibri" w:hAnsi="Times New Roman"/>
                <w:sz w:val="24"/>
                <w:szCs w:val="24"/>
                <w:lang w:val="bg-BG" w:eastAsia="bg-BG"/>
              </w:rPr>
              <w:t xml:space="preserve">Обобщение на констатациите:                                                                                                                                                   </w:t>
            </w:r>
            <w:r w:rsidRPr="00807B9D">
              <w:rPr>
                <w:rFonts w:ascii="Times New Roman" w:eastAsia="Calibri" w:hAnsi="Times New Roman"/>
                <w:i/>
                <w:sz w:val="24"/>
                <w:szCs w:val="24"/>
                <w:lang w:val="bg-BG" w:eastAsia="bg-BG"/>
              </w:rPr>
              <w:t>Попълва се от ГД ГВА</w:t>
            </w:r>
          </w:p>
        </w:tc>
      </w:tr>
      <w:tr w:rsidR="004676FC" w:rsidRPr="00807B9D" w:rsidTr="002E406B">
        <w:tc>
          <w:tcPr>
            <w:tcW w:w="14601" w:type="dxa"/>
            <w:shd w:val="clear" w:color="auto" w:fill="auto"/>
          </w:tcPr>
          <w:p w:rsidR="004676FC" w:rsidRPr="00807B9D" w:rsidRDefault="004676FC" w:rsidP="002E406B">
            <w:pPr>
              <w:rPr>
                <w:rFonts w:ascii="Times New Roman" w:eastAsia="Calibri" w:hAnsi="Times New Roman"/>
                <w:sz w:val="24"/>
                <w:szCs w:val="24"/>
                <w:lang w:val="bg-BG" w:eastAsia="bg-BG"/>
              </w:rPr>
            </w:pPr>
          </w:p>
          <w:p w:rsidR="004676FC" w:rsidRPr="00807B9D" w:rsidRDefault="004676FC" w:rsidP="002E406B">
            <w:pPr>
              <w:rPr>
                <w:rFonts w:ascii="Times New Roman" w:eastAsia="Calibri" w:hAnsi="Times New Roman"/>
                <w:sz w:val="24"/>
                <w:szCs w:val="24"/>
                <w:lang w:val="bg-BG" w:eastAsia="bg-BG"/>
              </w:rPr>
            </w:pPr>
          </w:p>
          <w:p w:rsidR="004676FC" w:rsidRPr="00807B9D" w:rsidRDefault="004676FC" w:rsidP="002E406B">
            <w:pPr>
              <w:rPr>
                <w:rFonts w:ascii="Times New Roman" w:eastAsia="Calibri" w:hAnsi="Times New Roman"/>
                <w:sz w:val="24"/>
                <w:szCs w:val="24"/>
                <w:lang w:val="bg-BG" w:eastAsia="bg-BG"/>
              </w:rPr>
            </w:pPr>
          </w:p>
        </w:tc>
      </w:tr>
    </w:tbl>
    <w:p w:rsidR="004676FC" w:rsidRPr="00807B9D" w:rsidRDefault="004676FC" w:rsidP="004676FC">
      <w:pPr>
        <w:rPr>
          <w:sz w:val="24"/>
          <w:szCs w:val="24"/>
          <w:lang w:val="bg-BG"/>
        </w:rPr>
      </w:pPr>
    </w:p>
    <w:p w:rsidR="004676FC" w:rsidRDefault="004676FC" w:rsidP="004676FC">
      <w:pPr>
        <w:rPr>
          <w:sz w:val="24"/>
          <w:szCs w:val="24"/>
          <w:lang w:val="bg-BG"/>
        </w:rPr>
      </w:pPr>
    </w:p>
    <w:p w:rsidR="004676FC" w:rsidRPr="00807B9D" w:rsidRDefault="004676FC" w:rsidP="004676FC">
      <w:pPr>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4676FC" w:rsidRPr="00807B9D" w:rsidTr="002E406B">
        <w:trPr>
          <w:trHeight w:val="367"/>
        </w:trPr>
        <w:tc>
          <w:tcPr>
            <w:tcW w:w="4112" w:type="dxa"/>
            <w:tcBorders>
              <w:top w:val="nil"/>
              <w:bottom w:val="nil"/>
              <w:right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Проверено от ГД</w:t>
            </w:r>
            <w:r>
              <w:rPr>
                <w:rFonts w:ascii="Times New Roman" w:hAnsi="Times New Roman"/>
                <w:sz w:val="24"/>
                <w:szCs w:val="24"/>
                <w:lang w:val="bg-BG"/>
              </w:rPr>
              <w:t xml:space="preserve"> </w:t>
            </w:r>
            <w:r w:rsidRPr="00807B9D">
              <w:rPr>
                <w:rFonts w:ascii="Times New Roman" w:hAnsi="Times New Roman"/>
                <w:sz w:val="24"/>
                <w:szCs w:val="24"/>
                <w:lang w:val="bg-BG"/>
              </w:rPr>
              <w:t>ГВА</w:t>
            </w:r>
          </w:p>
        </w:tc>
      </w:tr>
      <w:tr w:rsidR="004676FC" w:rsidRPr="00807B9D" w:rsidTr="002E406B">
        <w:trPr>
          <w:trHeight w:val="391"/>
        </w:trPr>
        <w:tc>
          <w:tcPr>
            <w:tcW w:w="4112" w:type="dxa"/>
            <w:tcBorders>
              <w:top w:val="nil"/>
              <w:bottom w:val="nil"/>
              <w:right w:val="nil"/>
            </w:tcBorders>
            <w:noWrap/>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p>
        </w:tc>
        <w:tc>
          <w:tcPr>
            <w:tcW w:w="820" w:type="dxa"/>
            <w:tcBorders>
              <w:top w:val="nil"/>
              <w:left w:val="nil"/>
              <w:bottom w:val="nil"/>
              <w:right w:val="nil"/>
            </w:tcBorders>
            <w:noWrap/>
            <w:vAlign w:val="center"/>
          </w:tcPr>
          <w:p w:rsidR="004676FC" w:rsidRPr="00807B9D" w:rsidRDefault="004676FC" w:rsidP="002E406B">
            <w:pPr>
              <w:rPr>
                <w:rFonts w:ascii="Times New Roman" w:hAnsi="Times New Roman"/>
                <w:sz w:val="24"/>
                <w:szCs w:val="24"/>
                <w:lang w:val="bg-BG"/>
              </w:rPr>
            </w:pPr>
          </w:p>
        </w:tc>
        <w:tc>
          <w:tcPr>
            <w:tcW w:w="5897" w:type="dxa"/>
            <w:tcBorders>
              <w:top w:val="nil"/>
              <w:left w:val="nil"/>
              <w:bottom w:val="nil"/>
              <w:right w:val="nil"/>
            </w:tcBorders>
            <w:noWrap/>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Име (инспектор):</w:t>
            </w:r>
          </w:p>
        </w:tc>
      </w:tr>
      <w:tr w:rsidR="004676FC" w:rsidRPr="00807B9D" w:rsidTr="002E406B">
        <w:trPr>
          <w:trHeight w:val="367"/>
        </w:trPr>
        <w:tc>
          <w:tcPr>
            <w:tcW w:w="4112" w:type="dxa"/>
            <w:tcBorders>
              <w:bottom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Подпис:</w:t>
            </w:r>
          </w:p>
        </w:tc>
        <w:tc>
          <w:tcPr>
            <w:tcW w:w="4147" w:type="dxa"/>
            <w:tcBorders>
              <w:bottom w:val="nil"/>
            </w:tcBorders>
            <w:vAlign w:val="center"/>
          </w:tcPr>
          <w:p w:rsidR="004676FC" w:rsidRPr="00807B9D" w:rsidRDefault="004676FC" w:rsidP="002E406B">
            <w:pPr>
              <w:rPr>
                <w:rFonts w:ascii="Times New Roman" w:hAnsi="Times New Roman"/>
                <w:sz w:val="24"/>
                <w:szCs w:val="24"/>
                <w:lang w:val="bg-BG"/>
              </w:rPr>
            </w:pPr>
          </w:p>
        </w:tc>
        <w:tc>
          <w:tcPr>
            <w:tcW w:w="820" w:type="dxa"/>
            <w:tcBorders>
              <w:bottom w:val="nil"/>
            </w:tcBorders>
            <w:vAlign w:val="center"/>
          </w:tcPr>
          <w:p w:rsidR="004676FC" w:rsidRPr="00807B9D" w:rsidRDefault="004676FC" w:rsidP="002E406B">
            <w:pPr>
              <w:rPr>
                <w:rFonts w:ascii="Times New Roman" w:hAnsi="Times New Roman"/>
                <w:sz w:val="24"/>
                <w:szCs w:val="24"/>
                <w:lang w:val="bg-BG"/>
              </w:rPr>
            </w:pPr>
          </w:p>
        </w:tc>
        <w:tc>
          <w:tcPr>
            <w:tcW w:w="5897" w:type="dxa"/>
            <w:tcBorders>
              <w:bottom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Подпис:</w:t>
            </w:r>
          </w:p>
        </w:tc>
      </w:tr>
      <w:tr w:rsidR="004676FC" w:rsidRPr="00807B9D" w:rsidTr="002E406B">
        <w:trPr>
          <w:trHeight w:val="391"/>
        </w:trPr>
        <w:tc>
          <w:tcPr>
            <w:tcW w:w="4112" w:type="dxa"/>
            <w:tcBorders>
              <w:top w:val="nil"/>
              <w:bottom w:val="nil"/>
              <w:right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Дата:</w:t>
            </w:r>
          </w:p>
        </w:tc>
        <w:tc>
          <w:tcPr>
            <w:tcW w:w="4147"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4676FC" w:rsidRPr="00807B9D" w:rsidRDefault="004676FC" w:rsidP="002E406B">
            <w:pPr>
              <w:rPr>
                <w:rFonts w:ascii="Times New Roman" w:hAnsi="Times New Roman"/>
                <w:sz w:val="24"/>
                <w:szCs w:val="24"/>
                <w:lang w:val="bg-BG"/>
              </w:rPr>
            </w:pPr>
            <w:r w:rsidRPr="00807B9D">
              <w:rPr>
                <w:rFonts w:ascii="Times New Roman" w:hAnsi="Times New Roman"/>
                <w:sz w:val="24"/>
                <w:szCs w:val="24"/>
                <w:lang w:val="bg-BG"/>
              </w:rPr>
              <w:t>Дата:</w:t>
            </w:r>
          </w:p>
        </w:tc>
      </w:tr>
    </w:tbl>
    <w:p w:rsidR="004676FC" w:rsidRDefault="004676FC"/>
    <w:sectPr w:rsidR="004676FC" w:rsidSect="004676FC">
      <w:headerReference w:type="even" r:id="rId7"/>
      <w:headerReference w:type="default" r:id="rId8"/>
      <w:footerReference w:type="even" r:id="rId9"/>
      <w:footerReference w:type="default" r:id="rId10"/>
      <w:headerReference w:type="first" r:id="rId11"/>
      <w:footerReference w:type="first" r:id="rId12"/>
      <w:pgSz w:w="15840" w:h="12240" w:orient="landscape"/>
      <w:pgMar w:top="1194" w:right="1098" w:bottom="851" w:left="1417" w:header="567" w:footer="2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7190" w:rsidRDefault="00F17190" w:rsidP="00C14CED">
      <w:r>
        <w:separator/>
      </w:r>
    </w:p>
  </w:endnote>
  <w:endnote w:type="continuationSeparator" w:id="0">
    <w:p w:rsidR="00F17190" w:rsidRDefault="00F17190" w:rsidP="00C1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5C8" w:rsidRDefault="00043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76FC" w:rsidRPr="000435C8" w:rsidRDefault="000435C8" w:rsidP="000435C8">
    <w:pPr>
      <w:pStyle w:val="Heading2OrgManual"/>
      <w:spacing w:before="120" w:after="240"/>
      <w:rPr>
        <w:rFonts w:cstheme="minorHAnsi"/>
        <w:b w:val="0"/>
        <w:bCs/>
        <w:lang w:val="en-GB"/>
      </w:rPr>
    </w:pPr>
    <w:r w:rsidRPr="00390CC5">
      <w:rPr>
        <w:rFonts w:cstheme="minorHAnsi"/>
        <w:b w:val="0"/>
        <w:bCs/>
        <w:lang w:val="en-GB"/>
      </w:rPr>
      <w:t>PDRA-G0</w:t>
    </w:r>
    <w:r>
      <w:rPr>
        <w:rFonts w:cstheme="minorHAnsi"/>
        <w:b w:val="0"/>
        <w:bCs/>
        <w:lang w:val="en-GB"/>
      </w:rPr>
      <w:t xml:space="preserve">2 </w:t>
    </w:r>
    <w:r w:rsidRPr="00390CC5">
      <w:rPr>
        <w:rFonts w:cstheme="minorHAnsi"/>
        <w:b w:val="0"/>
        <w:bCs/>
        <w:lang w:val="en-GB"/>
      </w:rPr>
      <w:t>V 1.</w:t>
    </w:r>
    <w:r>
      <w:rPr>
        <w:rFonts w:cstheme="minorHAnsi"/>
        <w:b w:val="0"/>
        <w:bCs/>
        <w:color w:val="000000" w:themeColor="text1"/>
        <w:lang w:val="en-GB"/>
      </w:rPr>
      <w:t>1</w:t>
    </w:r>
    <w:r w:rsidRPr="00390CC5">
      <w:rPr>
        <w:rFonts w:cstheme="minorHAnsi"/>
        <w:b w:val="0"/>
        <w:bCs/>
        <w:color w:val="000000" w:themeColor="text1"/>
        <w:lang w:val="en-GB"/>
      </w:rPr>
      <w:t>, Jan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5C8" w:rsidRPr="000435C8" w:rsidRDefault="000435C8" w:rsidP="000435C8">
    <w:pPr>
      <w:pStyle w:val="Heading2OrgManual"/>
      <w:spacing w:before="120" w:after="240"/>
      <w:rPr>
        <w:rFonts w:cstheme="minorHAnsi"/>
        <w:b w:val="0"/>
        <w:bCs/>
        <w:lang w:val="en-GB"/>
      </w:rPr>
    </w:pPr>
    <w:r w:rsidRPr="00390CC5">
      <w:rPr>
        <w:rFonts w:cstheme="minorHAnsi"/>
        <w:b w:val="0"/>
        <w:bCs/>
        <w:lang w:val="en-GB"/>
      </w:rPr>
      <w:t>PDRA-G0</w:t>
    </w:r>
    <w:r>
      <w:rPr>
        <w:rFonts w:cstheme="minorHAnsi"/>
        <w:b w:val="0"/>
        <w:bCs/>
        <w:lang w:val="en-GB"/>
      </w:rPr>
      <w:t xml:space="preserve">2 </w:t>
    </w:r>
    <w:r w:rsidRPr="00390CC5">
      <w:rPr>
        <w:rFonts w:cstheme="minorHAnsi"/>
        <w:b w:val="0"/>
        <w:bCs/>
        <w:lang w:val="en-GB"/>
      </w:rPr>
      <w:t>V 1.</w:t>
    </w:r>
    <w:r>
      <w:rPr>
        <w:rFonts w:cstheme="minorHAnsi"/>
        <w:b w:val="0"/>
        <w:bCs/>
        <w:color w:val="000000" w:themeColor="text1"/>
        <w:lang w:val="en-GB"/>
      </w:rPr>
      <w:t>1</w:t>
    </w:r>
    <w:r w:rsidRPr="00390CC5">
      <w:rPr>
        <w:rFonts w:cstheme="minorHAnsi"/>
        <w:b w:val="0"/>
        <w:bCs/>
        <w:color w:val="000000" w:themeColor="text1"/>
        <w:lang w:val="en-GB"/>
      </w:rPr>
      <w:t>, Jan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7190" w:rsidRDefault="00F17190" w:rsidP="00C14CED">
      <w:r>
        <w:separator/>
      </w:r>
    </w:p>
  </w:footnote>
  <w:footnote w:type="continuationSeparator" w:id="0">
    <w:p w:rsidR="00F17190" w:rsidRDefault="00F17190" w:rsidP="00C14CED">
      <w:r>
        <w:continuationSeparator/>
      </w:r>
    </w:p>
  </w:footnote>
  <w:footnote w:id="1">
    <w:p w:rsidR="00C14CED" w:rsidRPr="00AF646D" w:rsidRDefault="00C14CED" w:rsidP="00C14CED">
      <w:pPr>
        <w:pStyle w:val="ListParagraph"/>
        <w:spacing w:after="40"/>
        <w:ind w:left="284" w:hanging="284"/>
        <w:contextualSpacing w:val="0"/>
        <w:jc w:val="both"/>
        <w:rPr>
          <w:sz w:val="18"/>
          <w:szCs w:val="18"/>
        </w:rPr>
      </w:pPr>
      <w:r w:rsidRPr="00AF646D">
        <w:rPr>
          <w:rStyle w:val="FootnoteReference"/>
          <w:sz w:val="18"/>
          <w:szCs w:val="18"/>
        </w:rPr>
        <w:footnoteRef/>
      </w:r>
      <w:r w:rsidRPr="00AF646D">
        <w:rPr>
          <w:sz w:val="18"/>
          <w:szCs w:val="18"/>
        </w:rPr>
        <w:tab/>
      </w:r>
      <w:r w:rsidRPr="00AF646D">
        <w:rPr>
          <w:rFonts w:asciiTheme="minorHAnsi" w:hAnsiTheme="minorHAnsi" w:cstheme="minorHAnsi"/>
          <w:color w:val="000000" w:themeColor="text1"/>
          <w:sz w:val="18"/>
          <w:szCs w:val="18"/>
        </w:rPr>
        <w:t>Due to the lack of experience in the use of communication services for extending the C2 link coverage through communication networks (</w:t>
      </w:r>
      <w:proofErr w:type="gramStart"/>
      <w:r w:rsidRPr="00AF646D">
        <w:rPr>
          <w:rFonts w:asciiTheme="minorHAnsi" w:hAnsiTheme="minorHAnsi" w:cstheme="minorHAnsi"/>
          <w:color w:val="000000" w:themeColor="text1"/>
          <w:sz w:val="18"/>
          <w:szCs w:val="18"/>
        </w:rPr>
        <w:t>e.g.</w:t>
      </w:r>
      <w:proofErr w:type="gramEnd"/>
      <w:r w:rsidRPr="00AF646D">
        <w:rPr>
          <w:rFonts w:asciiTheme="minorHAnsi" w:hAnsiTheme="minorHAnsi" w:cstheme="minorHAnsi"/>
          <w:color w:val="000000" w:themeColor="text1"/>
          <w:sz w:val="18"/>
          <w:szCs w:val="18"/>
        </w:rPr>
        <w:t xml:space="preserve"> mobile networks) in the type of UAS operations that are addressed by this PDRA, the scope of the PDRA is initially limited to the coverage of a direct C2 Link (direct link between the control station and the UA). As more experience in the use of those communication services is gained, the conditions of this PDRA may be revised to encompass their uses.</w:t>
      </w:r>
    </w:p>
  </w:footnote>
  <w:footnote w:id="2">
    <w:p w:rsidR="004676FC" w:rsidRPr="00032642" w:rsidRDefault="004676FC" w:rsidP="00C14CED">
      <w:pPr>
        <w:pStyle w:val="FootnoteText"/>
        <w:spacing w:after="40"/>
        <w:ind w:left="284" w:hanging="284"/>
        <w:jc w:val="both"/>
        <w:rPr>
          <w:sz w:val="18"/>
          <w:szCs w:val="18"/>
        </w:rPr>
      </w:pPr>
      <w:r w:rsidRPr="00AF646D">
        <w:rPr>
          <w:rStyle w:val="FootnoteReference"/>
          <w:sz w:val="18"/>
          <w:szCs w:val="18"/>
        </w:rPr>
        <w:footnoteRef/>
      </w:r>
      <w:r w:rsidRPr="00AF646D">
        <w:rPr>
          <w:sz w:val="18"/>
          <w:szCs w:val="18"/>
        </w:rPr>
        <w:t xml:space="preserve"> </w:t>
      </w:r>
      <w:r w:rsidRPr="00AF646D">
        <w:rPr>
          <w:sz w:val="18"/>
          <w:szCs w:val="18"/>
        </w:rPr>
        <w:tab/>
        <w:t>To be filled in by the UAS operator.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5C8" w:rsidRDefault="00043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5C8" w:rsidRDefault="000435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76FC" w:rsidRPr="004676FC" w:rsidRDefault="004676FC" w:rsidP="004676FC">
    <w:pPr>
      <w:jc w:val="center"/>
      <w:rPr>
        <w:lang w:val="en-US"/>
      </w:rPr>
    </w:pPr>
    <w:r w:rsidRPr="004676FC">
      <w:rPr>
        <w:rFonts w:asciiTheme="minorHAnsi" w:eastAsiaTheme="minorHAnsi" w:hAnsiTheme="minorHAnsi" w:cstheme="minorBidi"/>
        <w:noProof/>
        <w:lang w:val="bg-BG" w:eastAsia="bg-BG"/>
      </w:rPr>
      <w:drawing>
        <wp:anchor distT="0" distB="0" distL="114300" distR="114300" simplePos="0" relativeHeight="251661312" behindDoc="0" locked="0" layoutInCell="1" allowOverlap="1" wp14:anchorId="15098D30" wp14:editId="2A7A1646">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22" name="Picture 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6FC">
      <w:rPr>
        <w:rFonts w:ascii="Times New Roman" w:hAnsi="Times New Roman"/>
        <w:b/>
        <w:sz w:val="32"/>
        <w:szCs w:val="32"/>
        <w:lang w:val="bg-BG"/>
      </w:rPr>
      <w:t xml:space="preserve">Предварителна оценка на риска </w:t>
    </w:r>
    <w:r w:rsidRPr="004676FC">
      <w:rPr>
        <w:rFonts w:ascii="Times New Roman" w:hAnsi="Times New Roman"/>
        <w:b/>
        <w:sz w:val="32"/>
        <w:szCs w:val="32"/>
        <w:lang w:val="en-US"/>
      </w:rPr>
      <w:t>PDRA-G0</w:t>
    </w:r>
    <w:r>
      <w:rPr>
        <w:rFonts w:ascii="Times New Roman" w:hAnsi="Times New Roman"/>
        <w:b/>
        <w:sz w:val="32"/>
        <w:szCs w:val="32"/>
        <w:lang w:val="en-US"/>
      </w:rPr>
      <w:t>2</w:t>
    </w:r>
    <w:r w:rsidRPr="004676FC">
      <w:rPr>
        <w:rFonts w:ascii="Times New Roman" w:hAnsi="Times New Roman"/>
        <w:b/>
        <w:sz w:val="32"/>
        <w:szCs w:val="32"/>
        <w:lang w:val="bg-BG"/>
      </w:rPr>
      <w:t>/</w:t>
    </w:r>
    <w:r w:rsidRPr="004676FC">
      <w:rPr>
        <w:rFonts w:ascii="Times New Roman" w:hAnsi="Times New Roman"/>
        <w:b/>
        <w:sz w:val="32"/>
        <w:szCs w:val="32"/>
        <w:lang w:val="en-US"/>
      </w:rPr>
      <w:t xml:space="preserve"> </w:t>
    </w:r>
    <w:proofErr w:type="spellStart"/>
    <w:r w:rsidRPr="004676FC">
      <w:rPr>
        <w:rFonts w:ascii="Times New Roman" w:hAnsi="Times New Roman"/>
        <w:b/>
        <w:sz w:val="32"/>
        <w:szCs w:val="32"/>
        <w:lang w:val="bg-BG"/>
      </w:rPr>
      <w:t>Predefined</w:t>
    </w:r>
    <w:proofErr w:type="spellEnd"/>
    <w:r w:rsidRPr="004676FC">
      <w:rPr>
        <w:rFonts w:ascii="Times New Roman" w:hAnsi="Times New Roman"/>
        <w:b/>
        <w:sz w:val="32"/>
        <w:szCs w:val="32"/>
        <w:lang w:val="bg-BG"/>
      </w:rPr>
      <w:t xml:space="preserve"> </w:t>
    </w:r>
    <w:proofErr w:type="spellStart"/>
    <w:r w:rsidRPr="004676FC">
      <w:rPr>
        <w:rFonts w:ascii="Times New Roman" w:hAnsi="Times New Roman"/>
        <w:b/>
        <w:sz w:val="32"/>
        <w:szCs w:val="32"/>
        <w:lang w:val="bg-BG"/>
      </w:rPr>
      <w:t>risk</w:t>
    </w:r>
    <w:proofErr w:type="spellEnd"/>
    <w:r w:rsidRPr="004676FC">
      <w:rPr>
        <w:rFonts w:ascii="Times New Roman" w:hAnsi="Times New Roman"/>
        <w:b/>
        <w:sz w:val="32"/>
        <w:szCs w:val="32"/>
        <w:lang w:val="bg-BG"/>
      </w:rPr>
      <w:t xml:space="preserve"> </w:t>
    </w:r>
    <w:proofErr w:type="spellStart"/>
    <w:r w:rsidRPr="004676FC">
      <w:rPr>
        <w:rFonts w:ascii="Times New Roman" w:hAnsi="Times New Roman"/>
        <w:b/>
        <w:sz w:val="32"/>
        <w:szCs w:val="32"/>
        <w:lang w:val="bg-BG"/>
      </w:rPr>
      <w:t>assessment</w:t>
    </w:r>
    <w:proofErr w:type="spellEnd"/>
    <w:r w:rsidRPr="004676FC">
      <w:rPr>
        <w:rFonts w:ascii="Times New Roman" w:hAnsi="Times New Roman"/>
        <w:b/>
        <w:sz w:val="32"/>
        <w:szCs w:val="32"/>
        <w:lang w:val="bg-BG"/>
      </w:rPr>
      <w:t xml:space="preserve"> PDRA-G0</w:t>
    </w:r>
    <w:r>
      <w:rPr>
        <w:rFonts w:ascii="Times New Roman" w:hAnsi="Times New Roman"/>
        <w:b/>
        <w:sz w:val="32"/>
        <w:szCs w:val="32"/>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1023234"/>
    <w:lvl w:ilvl="0">
      <w:start w:val="4"/>
      <w:numFmt w:val="decimal"/>
      <w:lvlText w:val="%1"/>
      <w:lvlJc w:val="left"/>
      <w:pPr>
        <w:ind w:left="360" w:hanging="360"/>
      </w:pPr>
      <w:rPr>
        <w:rFonts w:hint="default"/>
      </w:rPr>
    </w:lvl>
    <w:lvl w:ilvl="1">
      <w:start w:val="2"/>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350253">
    <w:abstractNumId w:val="5"/>
  </w:num>
  <w:num w:numId="2" w16cid:durableId="1292446371">
    <w:abstractNumId w:val="24"/>
  </w:num>
  <w:num w:numId="3" w16cid:durableId="1727411788">
    <w:abstractNumId w:val="3"/>
  </w:num>
  <w:num w:numId="4" w16cid:durableId="1315530180">
    <w:abstractNumId w:val="6"/>
  </w:num>
  <w:num w:numId="5" w16cid:durableId="1717509559">
    <w:abstractNumId w:val="31"/>
  </w:num>
  <w:num w:numId="6" w16cid:durableId="517623599">
    <w:abstractNumId w:val="38"/>
  </w:num>
  <w:num w:numId="7" w16cid:durableId="2004971694">
    <w:abstractNumId w:val="17"/>
  </w:num>
  <w:num w:numId="8" w16cid:durableId="340354036">
    <w:abstractNumId w:val="8"/>
  </w:num>
  <w:num w:numId="9" w16cid:durableId="1663659848">
    <w:abstractNumId w:val="37"/>
  </w:num>
  <w:num w:numId="10" w16cid:durableId="1507019263">
    <w:abstractNumId w:val="0"/>
  </w:num>
  <w:num w:numId="11" w16cid:durableId="210699245">
    <w:abstractNumId w:val="25"/>
  </w:num>
  <w:num w:numId="12" w16cid:durableId="1001812731">
    <w:abstractNumId w:val="35"/>
  </w:num>
  <w:num w:numId="13" w16cid:durableId="1284993110">
    <w:abstractNumId w:val="28"/>
  </w:num>
  <w:num w:numId="14" w16cid:durableId="1530944702">
    <w:abstractNumId w:val="36"/>
  </w:num>
  <w:num w:numId="15" w16cid:durableId="660040607">
    <w:abstractNumId w:val="33"/>
  </w:num>
  <w:num w:numId="16" w16cid:durableId="2125733390">
    <w:abstractNumId w:val="16"/>
  </w:num>
  <w:num w:numId="17" w16cid:durableId="688457462">
    <w:abstractNumId w:val="39"/>
  </w:num>
  <w:num w:numId="18" w16cid:durableId="1039235722">
    <w:abstractNumId w:val="10"/>
  </w:num>
  <w:num w:numId="19" w16cid:durableId="1290743310">
    <w:abstractNumId w:val="20"/>
  </w:num>
  <w:num w:numId="20" w16cid:durableId="353311314">
    <w:abstractNumId w:val="14"/>
  </w:num>
  <w:num w:numId="21" w16cid:durableId="1852449166">
    <w:abstractNumId w:val="2"/>
  </w:num>
  <w:num w:numId="22" w16cid:durableId="1949851767">
    <w:abstractNumId w:val="21"/>
  </w:num>
  <w:num w:numId="23" w16cid:durableId="226453165">
    <w:abstractNumId w:val="45"/>
  </w:num>
  <w:num w:numId="24" w16cid:durableId="1376655946">
    <w:abstractNumId w:val="18"/>
  </w:num>
  <w:num w:numId="25" w16cid:durableId="775561192">
    <w:abstractNumId w:val="7"/>
  </w:num>
  <w:num w:numId="26" w16cid:durableId="753016162">
    <w:abstractNumId w:val="32"/>
  </w:num>
  <w:num w:numId="27" w16cid:durableId="1814977713">
    <w:abstractNumId w:val="43"/>
  </w:num>
  <w:num w:numId="28" w16cid:durableId="936208618">
    <w:abstractNumId w:val="12"/>
  </w:num>
  <w:num w:numId="29" w16cid:durableId="465317491">
    <w:abstractNumId w:val="4"/>
  </w:num>
  <w:num w:numId="30" w16cid:durableId="1080104265">
    <w:abstractNumId w:val="26"/>
  </w:num>
  <w:num w:numId="31" w16cid:durableId="1357999293">
    <w:abstractNumId w:val="34"/>
  </w:num>
  <w:num w:numId="32" w16cid:durableId="1661545863">
    <w:abstractNumId w:val="40"/>
  </w:num>
  <w:num w:numId="33" w16cid:durableId="1210415192">
    <w:abstractNumId w:val="44"/>
  </w:num>
  <w:num w:numId="34" w16cid:durableId="187528415">
    <w:abstractNumId w:val="11"/>
  </w:num>
  <w:num w:numId="35" w16cid:durableId="1333068464">
    <w:abstractNumId w:val="22"/>
  </w:num>
  <w:num w:numId="36" w16cid:durableId="1081834399">
    <w:abstractNumId w:val="1"/>
  </w:num>
  <w:num w:numId="37" w16cid:durableId="1539513250">
    <w:abstractNumId w:val="19"/>
  </w:num>
  <w:num w:numId="38" w16cid:durableId="1464271669">
    <w:abstractNumId w:val="13"/>
  </w:num>
  <w:num w:numId="39" w16cid:durableId="720322389">
    <w:abstractNumId w:val="15"/>
  </w:num>
  <w:num w:numId="40" w16cid:durableId="1846822683">
    <w:abstractNumId w:val="41"/>
  </w:num>
  <w:num w:numId="41" w16cid:durableId="222957343">
    <w:abstractNumId w:val="23"/>
  </w:num>
  <w:num w:numId="42" w16cid:durableId="1211962447">
    <w:abstractNumId w:val="9"/>
  </w:num>
  <w:num w:numId="43" w16cid:durableId="1337415046">
    <w:abstractNumId w:val="27"/>
  </w:num>
  <w:num w:numId="44" w16cid:durableId="736048125">
    <w:abstractNumId w:val="42"/>
  </w:num>
  <w:num w:numId="45" w16cid:durableId="506872919">
    <w:abstractNumId w:val="29"/>
  </w:num>
  <w:num w:numId="46" w16cid:durableId="1751222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ED"/>
    <w:rsid w:val="000138E0"/>
    <w:rsid w:val="000435C8"/>
    <w:rsid w:val="000B360A"/>
    <w:rsid w:val="001003F8"/>
    <w:rsid w:val="001267FC"/>
    <w:rsid w:val="00226453"/>
    <w:rsid w:val="002F7A49"/>
    <w:rsid w:val="004676FC"/>
    <w:rsid w:val="00551F85"/>
    <w:rsid w:val="0079754F"/>
    <w:rsid w:val="00816DF3"/>
    <w:rsid w:val="00A22A2D"/>
    <w:rsid w:val="00AF646D"/>
    <w:rsid w:val="00C14CED"/>
    <w:rsid w:val="00DC0F5C"/>
    <w:rsid w:val="00DF574E"/>
    <w:rsid w:val="00E51084"/>
    <w:rsid w:val="00F17190"/>
    <w:rsid w:val="00F5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8B25D"/>
  <w15:docId w15:val="{ECDF8738-31E2-4DC6-8863-13DE6799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CED"/>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C14CED"/>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C14CED"/>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C14CED"/>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C14CED"/>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C14CED"/>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C14CED"/>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C14CED"/>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C14CED"/>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C14CED"/>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14CED"/>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C14CED"/>
    <w:rPr>
      <w:rFonts w:eastAsia="Times New Roman" w:cs="Arial"/>
      <w:b/>
      <w:bCs/>
      <w:iCs/>
      <w:sz w:val="24"/>
      <w:lang w:val="en-GB" w:eastAsia="en-GB"/>
    </w:rPr>
  </w:style>
  <w:style w:type="character" w:customStyle="1" w:styleId="Heading3Char">
    <w:name w:val="Heading 3 Char"/>
    <w:basedOn w:val="DefaultParagraphFont"/>
    <w:link w:val="Heading3"/>
    <w:uiPriority w:val="99"/>
    <w:rsid w:val="00C14CED"/>
    <w:rPr>
      <w:rFonts w:eastAsia="Times New Roman" w:cs="Arial"/>
      <w:b/>
      <w:bCs/>
      <w:lang w:val="en-GB" w:eastAsia="en-GB"/>
    </w:rPr>
  </w:style>
  <w:style w:type="character" w:customStyle="1" w:styleId="Heading4Char">
    <w:name w:val="Heading 4 Char"/>
    <w:basedOn w:val="DefaultParagraphFont"/>
    <w:link w:val="Heading4"/>
    <w:uiPriority w:val="99"/>
    <w:rsid w:val="00C14CED"/>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C14CED"/>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C14CE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C14CED"/>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C14CED"/>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C14CED"/>
    <w:rPr>
      <w:rFonts w:ascii="Arial" w:eastAsia="Times New Roman" w:hAnsi="Arial" w:cs="Arial"/>
      <w:lang w:val="en-GB" w:eastAsia="en-GB"/>
    </w:rPr>
  </w:style>
  <w:style w:type="paragraph" w:styleId="Header">
    <w:name w:val="header"/>
    <w:basedOn w:val="Normal"/>
    <w:link w:val="HeaderChar"/>
    <w:uiPriority w:val="99"/>
    <w:rsid w:val="00C14CED"/>
    <w:pPr>
      <w:tabs>
        <w:tab w:val="center" w:pos="4153"/>
        <w:tab w:val="right" w:pos="8306"/>
      </w:tabs>
    </w:pPr>
  </w:style>
  <w:style w:type="character" w:customStyle="1" w:styleId="HeaderChar">
    <w:name w:val="Header Char"/>
    <w:basedOn w:val="DefaultParagraphFont"/>
    <w:link w:val="Header"/>
    <w:uiPriority w:val="99"/>
    <w:rsid w:val="00C14CED"/>
    <w:rPr>
      <w:rFonts w:ascii="Calibri" w:eastAsia="Times New Roman" w:hAnsi="Calibri" w:cs="Times New Roman"/>
      <w:lang w:val="en-GB" w:eastAsia="en-GB"/>
    </w:rPr>
  </w:style>
  <w:style w:type="paragraph" w:styleId="Footer">
    <w:name w:val="footer"/>
    <w:basedOn w:val="Normal"/>
    <w:link w:val="FooterChar"/>
    <w:uiPriority w:val="99"/>
    <w:rsid w:val="00C14CED"/>
    <w:pPr>
      <w:tabs>
        <w:tab w:val="center" w:pos="4153"/>
        <w:tab w:val="right" w:pos="8306"/>
      </w:tabs>
    </w:pPr>
  </w:style>
  <w:style w:type="character" w:customStyle="1" w:styleId="FooterChar">
    <w:name w:val="Footer Char"/>
    <w:basedOn w:val="DefaultParagraphFont"/>
    <w:link w:val="Footer"/>
    <w:uiPriority w:val="99"/>
    <w:rsid w:val="00C14CED"/>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C14CED"/>
    <w:rPr>
      <w:rFonts w:ascii="Tahoma" w:hAnsi="Tahoma" w:cs="Tahoma"/>
      <w:sz w:val="16"/>
      <w:szCs w:val="16"/>
    </w:rPr>
  </w:style>
  <w:style w:type="character" w:customStyle="1" w:styleId="BalloonTextChar">
    <w:name w:val="Balloon Text Char"/>
    <w:basedOn w:val="DefaultParagraphFont"/>
    <w:link w:val="BalloonText"/>
    <w:uiPriority w:val="99"/>
    <w:semiHidden/>
    <w:rsid w:val="00C14CED"/>
    <w:rPr>
      <w:rFonts w:ascii="Tahoma" w:eastAsia="Times New Roman" w:hAnsi="Tahoma" w:cs="Tahoma"/>
      <w:sz w:val="16"/>
      <w:szCs w:val="16"/>
      <w:lang w:val="en-GB" w:eastAsia="en-GB"/>
    </w:rPr>
  </w:style>
  <w:style w:type="table" w:styleId="TableGrid">
    <w:name w:val="Table Grid"/>
    <w:basedOn w:val="TableNormal"/>
    <w:uiPriority w:val="39"/>
    <w:rsid w:val="00C14CED"/>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C14CED"/>
    <w:rPr>
      <w:rFonts w:cs="Times New Roman"/>
    </w:rPr>
  </w:style>
  <w:style w:type="character" w:styleId="Hyperlink">
    <w:name w:val="Hyperlink"/>
    <w:basedOn w:val="DefaultParagraphFont"/>
    <w:uiPriority w:val="99"/>
    <w:rsid w:val="00C14CED"/>
    <w:rPr>
      <w:rFonts w:cs="Times New Roman"/>
      <w:color w:val="0000FF"/>
      <w:u w:val="single"/>
    </w:rPr>
  </w:style>
  <w:style w:type="paragraph" w:customStyle="1" w:styleId="HEADERCHAPTER3">
    <w:name w:val="HEADER CHAPTER 3"/>
    <w:next w:val="Normal"/>
    <w:uiPriority w:val="99"/>
    <w:rsid w:val="00C14CED"/>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C14CED"/>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C14CED"/>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C14CED"/>
    <w:pPr>
      <w:numPr>
        <w:numId w:val="1"/>
      </w:numPr>
    </w:pPr>
  </w:style>
  <w:style w:type="paragraph" w:customStyle="1" w:styleId="StyleVerdana10ptCentered">
    <w:name w:val="Style Verdana 10 pt Centered"/>
    <w:basedOn w:val="Normal"/>
    <w:uiPriority w:val="99"/>
    <w:rsid w:val="00C14CED"/>
    <w:pPr>
      <w:numPr>
        <w:numId w:val="2"/>
      </w:numPr>
      <w:jc w:val="center"/>
    </w:pPr>
  </w:style>
  <w:style w:type="paragraph" w:styleId="TOC1">
    <w:name w:val="toc 1"/>
    <w:basedOn w:val="Normal"/>
    <w:next w:val="Normal"/>
    <w:autoRedefine/>
    <w:uiPriority w:val="39"/>
    <w:qFormat/>
    <w:rsid w:val="00C14CED"/>
    <w:pPr>
      <w:tabs>
        <w:tab w:val="left" w:pos="400"/>
        <w:tab w:val="right" w:leader="dot" w:pos="9026"/>
      </w:tabs>
      <w:spacing w:after="60"/>
      <w:ind w:left="426" w:hanging="426"/>
    </w:pPr>
    <w:rPr>
      <w:b/>
      <w:bCs/>
    </w:rPr>
  </w:style>
  <w:style w:type="paragraph" w:customStyle="1" w:styleId="PARTHEADER">
    <w:name w:val="PART HEADER"/>
    <w:basedOn w:val="Normal"/>
    <w:uiPriority w:val="99"/>
    <w:rsid w:val="00C14CED"/>
    <w:pPr>
      <w:spacing w:before="120" w:after="120"/>
      <w:jc w:val="center"/>
    </w:pPr>
    <w:rPr>
      <w:sz w:val="36"/>
      <w:szCs w:val="36"/>
    </w:rPr>
  </w:style>
  <w:style w:type="paragraph" w:styleId="TOC2">
    <w:name w:val="toc 2"/>
    <w:basedOn w:val="Normal"/>
    <w:next w:val="Normal"/>
    <w:autoRedefine/>
    <w:uiPriority w:val="39"/>
    <w:qFormat/>
    <w:rsid w:val="00C14CED"/>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C14CED"/>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C14CED"/>
    <w:rPr>
      <w:rFonts w:cs="Times New Roman"/>
      <w:sz w:val="16"/>
    </w:rPr>
  </w:style>
  <w:style w:type="paragraph" w:styleId="CommentText">
    <w:name w:val="annotation text"/>
    <w:basedOn w:val="Normal"/>
    <w:link w:val="CommentTextChar"/>
    <w:uiPriority w:val="99"/>
    <w:rsid w:val="00C14CED"/>
  </w:style>
  <w:style w:type="character" w:customStyle="1" w:styleId="CommentTextChar">
    <w:name w:val="Comment Text Char"/>
    <w:basedOn w:val="DefaultParagraphFont"/>
    <w:link w:val="CommentText"/>
    <w:uiPriority w:val="99"/>
    <w:rsid w:val="00C14CED"/>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C14CED"/>
    <w:rPr>
      <w:b/>
      <w:bCs/>
    </w:rPr>
  </w:style>
  <w:style w:type="character" w:customStyle="1" w:styleId="CommentSubjectChar">
    <w:name w:val="Comment Subject Char"/>
    <w:basedOn w:val="CommentTextChar"/>
    <w:link w:val="CommentSubject"/>
    <w:uiPriority w:val="99"/>
    <w:semiHidden/>
    <w:rsid w:val="00C14CED"/>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C14CED"/>
    <w:rPr>
      <w:sz w:val="16"/>
      <w:lang w:eastAsia="fr-FR"/>
    </w:rPr>
  </w:style>
  <w:style w:type="character" w:customStyle="1" w:styleId="FootnoteTextChar">
    <w:name w:val="Footnote Text Char"/>
    <w:aliases w:val="Tekst przypisu Char"/>
    <w:basedOn w:val="DefaultParagraphFont"/>
    <w:link w:val="FootnoteText"/>
    <w:rsid w:val="00C14CED"/>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C14CED"/>
    <w:rPr>
      <w:rFonts w:cs="Times New Roman"/>
      <w:vertAlign w:val="superscript"/>
    </w:rPr>
  </w:style>
  <w:style w:type="paragraph" w:styleId="Caption">
    <w:name w:val="caption"/>
    <w:basedOn w:val="Normal"/>
    <w:next w:val="Normal"/>
    <w:link w:val="CaptionChar"/>
    <w:uiPriority w:val="35"/>
    <w:qFormat/>
    <w:rsid w:val="00C14CED"/>
    <w:pPr>
      <w:ind w:left="680"/>
    </w:pPr>
    <w:rPr>
      <w:b/>
      <w:bCs/>
      <w:sz w:val="18"/>
    </w:rPr>
  </w:style>
  <w:style w:type="paragraph" w:customStyle="1" w:styleId="Bulletlist">
    <w:name w:val="Bullet list"/>
    <w:basedOn w:val="Normal"/>
    <w:link w:val="BulletlistChar"/>
    <w:autoRedefine/>
    <w:uiPriority w:val="99"/>
    <w:rsid w:val="00C14CED"/>
    <w:pPr>
      <w:spacing w:before="120" w:after="120" w:line="276" w:lineRule="auto"/>
      <w:jc w:val="both"/>
    </w:pPr>
    <w:rPr>
      <w:lang w:val="en-US" w:eastAsia="en-US"/>
    </w:rPr>
  </w:style>
  <w:style w:type="character" w:customStyle="1" w:styleId="BulletlistChar">
    <w:name w:val="Bullet list Char"/>
    <w:link w:val="Bulletlist"/>
    <w:uiPriority w:val="99"/>
    <w:locked/>
    <w:rsid w:val="00C14CED"/>
    <w:rPr>
      <w:rFonts w:ascii="Calibri" w:eastAsia="Times New Roman" w:hAnsi="Calibri" w:cs="Times New Roman"/>
    </w:rPr>
  </w:style>
  <w:style w:type="paragraph" w:styleId="DocumentMap">
    <w:name w:val="Document Map"/>
    <w:basedOn w:val="Normal"/>
    <w:link w:val="DocumentMapChar"/>
    <w:uiPriority w:val="99"/>
    <w:semiHidden/>
    <w:rsid w:val="00C14CE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14CED"/>
    <w:rPr>
      <w:rFonts w:ascii="Tahoma" w:eastAsia="Times New Roman" w:hAnsi="Tahoma" w:cs="Tahoma"/>
      <w:shd w:val="clear" w:color="auto" w:fill="000080"/>
      <w:lang w:val="en-GB" w:eastAsia="en-GB"/>
    </w:rPr>
  </w:style>
  <w:style w:type="paragraph" w:customStyle="1" w:styleId="Default">
    <w:name w:val="Default"/>
    <w:rsid w:val="00C14CED"/>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C14CED"/>
    <w:pPr>
      <w:spacing w:after="120"/>
    </w:pPr>
  </w:style>
  <w:style w:type="character" w:customStyle="1" w:styleId="BodyTextChar">
    <w:name w:val="Body Text Char"/>
    <w:basedOn w:val="DefaultParagraphFont"/>
    <w:link w:val="BodyText"/>
    <w:uiPriority w:val="99"/>
    <w:rsid w:val="00C14CED"/>
    <w:rPr>
      <w:rFonts w:ascii="Calibri" w:eastAsia="Times New Roman" w:hAnsi="Calibri" w:cs="Times New Roman"/>
      <w:lang w:val="en-GB" w:eastAsia="en-GB"/>
    </w:rPr>
  </w:style>
  <w:style w:type="paragraph" w:customStyle="1" w:styleId="StyleBefore6pt">
    <w:name w:val="Style Before:  6 pt"/>
    <w:basedOn w:val="Normal"/>
    <w:uiPriority w:val="99"/>
    <w:rsid w:val="00C14CED"/>
    <w:pPr>
      <w:numPr>
        <w:numId w:val="7"/>
      </w:numPr>
      <w:spacing w:before="120"/>
      <w:jc w:val="both"/>
    </w:pPr>
    <w:rPr>
      <w:lang w:eastAsia="zh-CN"/>
    </w:rPr>
  </w:style>
  <w:style w:type="paragraph" w:customStyle="1" w:styleId="NPAparagraph">
    <w:name w:val="NPA paragraph"/>
    <w:basedOn w:val="Normal"/>
    <w:uiPriority w:val="99"/>
    <w:rsid w:val="00C14CED"/>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C14CED"/>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C14CED"/>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C14CED"/>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C14CED"/>
    <w:rPr>
      <w:rFonts w:eastAsia="SimSun" w:cs="Times New Roman"/>
      <w:color w:val="000000" w:themeColor="text1"/>
      <w:lang w:val="en-GB"/>
    </w:rPr>
  </w:style>
  <w:style w:type="table" w:styleId="TableClassic1">
    <w:name w:val="Table Classic 1"/>
    <w:basedOn w:val="TableNormal"/>
    <w:uiPriority w:val="99"/>
    <w:rsid w:val="00C14CED"/>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C14CED"/>
  </w:style>
  <w:style w:type="paragraph" w:customStyle="1" w:styleId="numberedlist">
    <w:name w:val="numbered list"/>
    <w:basedOn w:val="Normal"/>
    <w:qFormat/>
    <w:rsid w:val="00C14CED"/>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C14CED"/>
    <w:pPr>
      <w:spacing w:after="0" w:line="240" w:lineRule="auto"/>
    </w:pPr>
    <w:rPr>
      <w:rFonts w:ascii="Verdana" w:eastAsia="Times New Roman" w:hAnsi="Verdana" w:cs="Times New Roman"/>
      <w:sz w:val="20"/>
      <w:szCs w:val="24"/>
      <w:lang w:val="en-GB" w:eastAsia="en-GB"/>
    </w:rPr>
  </w:style>
  <w:style w:type="character" w:customStyle="1" w:styleId="Date1">
    <w:name w:val="Date1"/>
    <w:rsid w:val="00C14CED"/>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C14CED"/>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C14CED"/>
    <w:pPr>
      <w:ind w:left="720"/>
      <w:contextualSpacing/>
    </w:pPr>
  </w:style>
  <w:style w:type="table" w:styleId="LightShading">
    <w:name w:val="Light Shading"/>
    <w:basedOn w:val="TableNormal"/>
    <w:uiPriority w:val="60"/>
    <w:rsid w:val="00C14CED"/>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C14CED"/>
    <w:pPr>
      <w:numPr>
        <w:numId w:val="10"/>
      </w:numPr>
      <w:contextualSpacing/>
    </w:pPr>
  </w:style>
  <w:style w:type="paragraph" w:customStyle="1" w:styleId="TextBody">
    <w:name w:val="Text Body"/>
    <w:basedOn w:val="Normal"/>
    <w:link w:val="TextBodyChar"/>
    <w:autoRedefine/>
    <w:uiPriority w:val="99"/>
    <w:rsid w:val="00C14CED"/>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C14CED"/>
    <w:rPr>
      <w:rFonts w:eastAsia="Times New Roman" w:cs="Times New Roman"/>
      <w:noProof/>
      <w:lang w:val="en-GB"/>
    </w:rPr>
  </w:style>
  <w:style w:type="paragraph" w:styleId="TOCHeading">
    <w:name w:val="TOC Heading"/>
    <w:basedOn w:val="Heading1"/>
    <w:next w:val="Normal"/>
    <w:uiPriority w:val="39"/>
    <w:semiHidden/>
    <w:unhideWhenUsed/>
    <w:qFormat/>
    <w:rsid w:val="00C14CED"/>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C14CED"/>
    <w:pPr>
      <w:ind w:left="600"/>
    </w:pPr>
    <w:rPr>
      <w:rFonts w:asciiTheme="minorHAnsi" w:hAnsiTheme="minorHAnsi"/>
      <w:sz w:val="18"/>
      <w:szCs w:val="18"/>
    </w:rPr>
  </w:style>
  <w:style w:type="paragraph" w:styleId="TOC5">
    <w:name w:val="toc 5"/>
    <w:basedOn w:val="Normal"/>
    <w:next w:val="Normal"/>
    <w:autoRedefine/>
    <w:uiPriority w:val="39"/>
    <w:unhideWhenUsed/>
    <w:rsid w:val="00C14CED"/>
    <w:pPr>
      <w:ind w:left="800"/>
    </w:pPr>
    <w:rPr>
      <w:rFonts w:asciiTheme="minorHAnsi" w:hAnsiTheme="minorHAnsi"/>
      <w:sz w:val="18"/>
      <w:szCs w:val="18"/>
    </w:rPr>
  </w:style>
  <w:style w:type="paragraph" w:styleId="TOC6">
    <w:name w:val="toc 6"/>
    <w:basedOn w:val="Normal"/>
    <w:next w:val="Normal"/>
    <w:autoRedefine/>
    <w:uiPriority w:val="39"/>
    <w:unhideWhenUsed/>
    <w:rsid w:val="00C14CED"/>
    <w:pPr>
      <w:ind w:left="1000"/>
    </w:pPr>
    <w:rPr>
      <w:rFonts w:asciiTheme="minorHAnsi" w:hAnsiTheme="minorHAnsi"/>
      <w:sz w:val="18"/>
      <w:szCs w:val="18"/>
    </w:rPr>
  </w:style>
  <w:style w:type="paragraph" w:styleId="TOC7">
    <w:name w:val="toc 7"/>
    <w:basedOn w:val="Normal"/>
    <w:next w:val="Normal"/>
    <w:autoRedefine/>
    <w:uiPriority w:val="39"/>
    <w:unhideWhenUsed/>
    <w:rsid w:val="00C14CED"/>
    <w:pPr>
      <w:ind w:left="1200"/>
    </w:pPr>
    <w:rPr>
      <w:rFonts w:asciiTheme="minorHAnsi" w:hAnsiTheme="minorHAnsi"/>
      <w:sz w:val="18"/>
      <w:szCs w:val="18"/>
    </w:rPr>
  </w:style>
  <w:style w:type="paragraph" w:styleId="TOC8">
    <w:name w:val="toc 8"/>
    <w:basedOn w:val="Normal"/>
    <w:next w:val="Normal"/>
    <w:autoRedefine/>
    <w:uiPriority w:val="39"/>
    <w:unhideWhenUsed/>
    <w:rsid w:val="00C14CED"/>
    <w:pPr>
      <w:ind w:left="1400"/>
    </w:pPr>
    <w:rPr>
      <w:rFonts w:asciiTheme="minorHAnsi" w:hAnsiTheme="minorHAnsi"/>
      <w:sz w:val="18"/>
      <w:szCs w:val="18"/>
    </w:rPr>
  </w:style>
  <w:style w:type="paragraph" w:styleId="TOC9">
    <w:name w:val="toc 9"/>
    <w:basedOn w:val="Normal"/>
    <w:next w:val="Normal"/>
    <w:autoRedefine/>
    <w:uiPriority w:val="39"/>
    <w:unhideWhenUsed/>
    <w:rsid w:val="00C14CED"/>
    <w:pPr>
      <w:ind w:left="1600"/>
    </w:pPr>
    <w:rPr>
      <w:rFonts w:asciiTheme="minorHAnsi" w:hAnsiTheme="minorHAnsi"/>
      <w:sz w:val="18"/>
      <w:szCs w:val="18"/>
    </w:rPr>
  </w:style>
  <w:style w:type="table" w:customStyle="1" w:styleId="TableGridLight1">
    <w:name w:val="Table Grid Light1"/>
    <w:basedOn w:val="TableNormal"/>
    <w:uiPriority w:val="40"/>
    <w:rsid w:val="00C14CED"/>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C14CED"/>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14CED"/>
    <w:rPr>
      <w:b/>
      <w:bCs/>
    </w:rPr>
  </w:style>
  <w:style w:type="character" w:customStyle="1" w:styleId="CaptionChar">
    <w:name w:val="Caption Char"/>
    <w:link w:val="Caption"/>
    <w:uiPriority w:val="35"/>
    <w:rsid w:val="00C14CED"/>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C14CED"/>
    <w:rPr>
      <w:rFonts w:ascii="Calibri" w:eastAsia="Times New Roman" w:hAnsi="Calibri" w:cs="Times New Roman"/>
      <w:lang w:val="en-GB" w:eastAsia="en-GB"/>
    </w:rPr>
  </w:style>
  <w:style w:type="paragraph" w:customStyle="1" w:styleId="Heading3a">
    <w:name w:val="Heading 3a"/>
    <w:basedOn w:val="Heading3"/>
    <w:link w:val="Heading3aChar"/>
    <w:qFormat/>
    <w:rsid w:val="00C14CED"/>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C14CED"/>
    <w:rPr>
      <w:rFonts w:eastAsia="Times New Roman" w:cs="Arial"/>
      <w:bCs/>
      <w:lang w:val="en-GB" w:eastAsia="en-GB"/>
    </w:rPr>
  </w:style>
  <w:style w:type="paragraph" w:customStyle="1" w:styleId="AppendixtoAnnex">
    <w:name w:val="Appendix to Annex"/>
    <w:basedOn w:val="Heading6"/>
    <w:next w:val="Normal"/>
    <w:qFormat/>
    <w:rsid w:val="00C14CED"/>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C14CED"/>
    <w:pPr>
      <w:numPr>
        <w:numId w:val="11"/>
      </w:numPr>
      <w:spacing w:after="120" w:line="276" w:lineRule="auto"/>
    </w:pPr>
    <w:rPr>
      <w:rFonts w:eastAsia="SimSun"/>
    </w:rPr>
  </w:style>
  <w:style w:type="character" w:customStyle="1" w:styleId="AMC1levelChar">
    <w:name w:val="AMC 1 level Char"/>
    <w:basedOn w:val="ListParagraphChar"/>
    <w:link w:val="AMC1level"/>
    <w:rsid w:val="00C14CED"/>
    <w:rPr>
      <w:rFonts w:ascii="Calibri" w:eastAsia="SimSun" w:hAnsi="Calibri" w:cs="Times New Roman"/>
      <w:lang w:val="en-GB" w:eastAsia="en-GB"/>
    </w:rPr>
  </w:style>
  <w:style w:type="paragraph" w:customStyle="1" w:styleId="AMClist2">
    <w:name w:val="AMC list 2"/>
    <w:basedOn w:val="AMC1level"/>
    <w:link w:val="AMClist2Char"/>
    <w:qFormat/>
    <w:rsid w:val="00C14CED"/>
    <w:pPr>
      <w:numPr>
        <w:ilvl w:val="1"/>
        <w:numId w:val="12"/>
      </w:numPr>
    </w:pPr>
  </w:style>
  <w:style w:type="character" w:customStyle="1" w:styleId="AMClist2Char">
    <w:name w:val="AMC list 2 Char"/>
    <w:basedOn w:val="AMC1levelChar"/>
    <w:link w:val="AMClist2"/>
    <w:rsid w:val="00C14CED"/>
    <w:rPr>
      <w:rFonts w:ascii="Calibri" w:eastAsia="SimSun" w:hAnsi="Calibri" w:cs="Times New Roman"/>
      <w:lang w:val="en-GB" w:eastAsia="en-GB"/>
    </w:rPr>
  </w:style>
  <w:style w:type="paragraph" w:customStyle="1" w:styleId="ActionNr">
    <w:name w:val="ActionNr"/>
    <w:basedOn w:val="Normal"/>
    <w:rsid w:val="00C14CED"/>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C14CED"/>
    <w:pPr>
      <w:numPr>
        <w:ilvl w:val="0"/>
        <w:numId w:val="0"/>
      </w:numPr>
      <w:spacing w:before="0" w:line="276" w:lineRule="auto"/>
      <w:jc w:val="both"/>
    </w:pPr>
    <w:rPr>
      <w:b w:val="0"/>
    </w:rPr>
  </w:style>
  <w:style w:type="character" w:customStyle="1" w:styleId="SUBChar">
    <w:name w:val="SUB Char"/>
    <w:basedOn w:val="DefaultParagraphFont"/>
    <w:link w:val="SUB"/>
    <w:rsid w:val="00C14CED"/>
    <w:rPr>
      <w:rFonts w:eastAsia="Times New Roman" w:cs="Arial"/>
      <w:bCs/>
      <w:lang w:val="en-GB" w:eastAsia="en-GB"/>
    </w:rPr>
  </w:style>
  <w:style w:type="paragraph" w:customStyle="1" w:styleId="1GM">
    <w:name w:val="1 GM"/>
    <w:basedOn w:val="Heading4"/>
    <w:next w:val="Normal"/>
    <w:autoRedefine/>
    <w:qFormat/>
    <w:rsid w:val="00C14CED"/>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C14CED"/>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C14CED"/>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C14CE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4CE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14CE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C14CED"/>
    <w:rPr>
      <w:rFonts w:asciiTheme="minorHAnsi" w:hAnsiTheme="minorHAnsi"/>
      <w:sz w:val="20"/>
      <w:szCs w:val="24"/>
      <w:lang w:val="en-US" w:eastAsia="de-DE"/>
    </w:rPr>
  </w:style>
  <w:style w:type="paragraph" w:customStyle="1" w:styleId="sora1">
    <w:name w:val="sora 1"/>
    <w:basedOn w:val="Heading4"/>
    <w:link w:val="sora1Char"/>
    <w:qFormat/>
    <w:rsid w:val="00C14CED"/>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C14CED"/>
    <w:rPr>
      <w:rFonts w:eastAsia="SimSun" w:cstheme="minorHAnsi"/>
      <w:bCs/>
      <w:iCs/>
      <w:lang w:val="en-GB" w:eastAsia="en-GB"/>
    </w:rPr>
  </w:style>
  <w:style w:type="character" w:customStyle="1" w:styleId="easaCharHead">
    <w:name w:val="easaCharHead"/>
    <w:basedOn w:val="DefaultParagraphFont"/>
    <w:uiPriority w:val="1"/>
    <w:qFormat/>
    <w:rsid w:val="00C14CED"/>
    <w:rPr>
      <w:b/>
      <w:i/>
      <w:sz w:val="20"/>
      <w:szCs w:val="20"/>
    </w:rPr>
  </w:style>
  <w:style w:type="paragraph" w:customStyle="1" w:styleId="ListLevel1">
    <w:name w:val="ListLevel1"/>
    <w:basedOn w:val="ListLevel0"/>
    <w:qFormat/>
    <w:rsid w:val="00C14CED"/>
    <w:pPr>
      <w:ind w:left="1134"/>
    </w:pPr>
  </w:style>
  <w:style w:type="paragraph" w:customStyle="1" w:styleId="ListLevel0">
    <w:name w:val="ListLevel0"/>
    <w:basedOn w:val="Normal"/>
    <w:rsid w:val="00C14CED"/>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C14CED"/>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C14CED"/>
    <w:pPr>
      <w:jc w:val="center"/>
    </w:pPr>
    <w:rPr>
      <w:rFonts w:asciiTheme="minorHAnsi" w:hAnsiTheme="minorHAnsi"/>
      <w:sz w:val="20"/>
      <w:szCs w:val="24"/>
      <w:lang w:val="en-US" w:eastAsia="de-DE"/>
    </w:rPr>
  </w:style>
  <w:style w:type="table" w:customStyle="1" w:styleId="easaTable">
    <w:name w:val="easaTable"/>
    <w:uiPriority w:val="99"/>
    <w:rsid w:val="00C14CED"/>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C14CED"/>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C14CED"/>
    <w:pPr>
      <w:numPr>
        <w:numId w:val="15"/>
      </w:numPr>
      <w:jc w:val="both"/>
    </w:pPr>
    <w:rPr>
      <w:rFonts w:ascii="Verdana" w:hAnsi="Verdana"/>
      <w:sz w:val="20"/>
      <w:szCs w:val="20"/>
      <w:lang w:val="pt-PT"/>
    </w:rPr>
  </w:style>
  <w:style w:type="paragraph" w:customStyle="1" w:styleId="article-title">
    <w:name w:val="article-title"/>
    <w:basedOn w:val="Normal"/>
    <w:uiPriority w:val="99"/>
    <w:rsid w:val="00C14CED"/>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C14CED"/>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C14CED"/>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C14CED"/>
    <w:pPr>
      <w:spacing w:before="120" w:after="120"/>
      <w:jc w:val="both"/>
    </w:pPr>
    <w:rPr>
      <w:rFonts w:ascii="Times New Roman" w:eastAsia="Calibri" w:hAnsi="Times New Roman"/>
      <w:sz w:val="24"/>
      <w:lang w:eastAsia="en-US"/>
    </w:rPr>
  </w:style>
  <w:style w:type="paragraph" w:customStyle="1" w:styleId="body-text">
    <w:name w:val="body-text"/>
    <w:basedOn w:val="Normal"/>
    <w:rsid w:val="00C14CED"/>
    <w:pPr>
      <w:spacing w:before="100" w:beforeAutospacing="1" w:after="100" w:afterAutospacing="1"/>
    </w:pPr>
    <w:rPr>
      <w:rFonts w:ascii="Arial" w:hAnsi="Arial" w:cs="Arial"/>
      <w:sz w:val="24"/>
      <w:szCs w:val="24"/>
    </w:rPr>
  </w:style>
  <w:style w:type="paragraph" w:customStyle="1" w:styleId="bullet1">
    <w:name w:val="bullet1"/>
    <w:basedOn w:val="Normal"/>
    <w:qFormat/>
    <w:rsid w:val="00C14CED"/>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C14CED"/>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C14CE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C14CED"/>
    <w:rPr>
      <w:b/>
      <w:i w:val="0"/>
      <w:u w:val="none"/>
    </w:rPr>
  </w:style>
  <w:style w:type="paragraph" w:customStyle="1" w:styleId="TableHead">
    <w:name w:val="TableHead"/>
    <w:basedOn w:val="TableNormal0"/>
    <w:qFormat/>
    <w:rsid w:val="00C14CED"/>
    <w:rPr>
      <w:b/>
    </w:rPr>
  </w:style>
  <w:style w:type="paragraph" w:styleId="NormalIndent">
    <w:name w:val="Normal Indent"/>
    <w:basedOn w:val="Normal"/>
    <w:semiHidden/>
    <w:rsid w:val="00C14CED"/>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C14CED"/>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C14CED"/>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C14CED"/>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C14CED"/>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C14CED"/>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C14CED"/>
    <w:rPr>
      <w:color w:val="605E5C"/>
      <w:shd w:val="clear" w:color="auto" w:fill="E1DFDD"/>
    </w:rPr>
  </w:style>
  <w:style w:type="character" w:customStyle="1" w:styleId="AnnxChar">
    <w:name w:val="Annx Char"/>
    <w:basedOn w:val="Heading5Char"/>
    <w:link w:val="Annx"/>
    <w:rsid w:val="00C14CED"/>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C14CED"/>
    <w:rPr>
      <w:b/>
      <w:bCs/>
      <w:smallCaps/>
      <w:color w:val="ED7D31" w:themeColor="accent2"/>
      <w:spacing w:val="5"/>
      <w:u w:val="single"/>
    </w:rPr>
  </w:style>
  <w:style w:type="paragraph" w:styleId="Index7">
    <w:name w:val="index 7"/>
    <w:basedOn w:val="Normal"/>
    <w:next w:val="Normal"/>
    <w:autoRedefine/>
    <w:semiHidden/>
    <w:rsid w:val="00C14CED"/>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C14CED"/>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C14CED"/>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C14CED"/>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C14CED"/>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C14CED"/>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C14CED"/>
    <w:rPr>
      <w:color w:val="808080"/>
    </w:rPr>
  </w:style>
  <w:style w:type="paragraph" w:customStyle="1" w:styleId="ListLevel3">
    <w:name w:val="ListLevel3"/>
    <w:basedOn w:val="ListLevel2"/>
    <w:qFormat/>
    <w:rsid w:val="00C14CED"/>
    <w:pPr>
      <w:spacing w:line="240" w:lineRule="auto"/>
      <w:ind w:left="2268"/>
    </w:pPr>
  </w:style>
  <w:style w:type="paragraph" w:customStyle="1" w:styleId="ListLevel4">
    <w:name w:val="ListLevel4"/>
    <w:basedOn w:val="ListLevel3"/>
    <w:qFormat/>
    <w:rsid w:val="00C14CED"/>
    <w:pPr>
      <w:ind w:left="2835"/>
    </w:pPr>
  </w:style>
  <w:style w:type="paragraph" w:customStyle="1" w:styleId="Heading1GM">
    <w:name w:val="Heading 1 GM"/>
    <w:basedOn w:val="Heading5"/>
    <w:qFormat/>
    <w:rsid w:val="00C14CED"/>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C14CED"/>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C14CED"/>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C14CED"/>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C14CED"/>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C14CED"/>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C14CED"/>
    <w:rPr>
      <w:i/>
    </w:rPr>
  </w:style>
  <w:style w:type="table" w:customStyle="1" w:styleId="easaForm">
    <w:name w:val="easaForm"/>
    <w:basedOn w:val="TableNormal"/>
    <w:uiPriority w:val="99"/>
    <w:rsid w:val="00C14CED"/>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C14CED"/>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C14CED"/>
    <w:pPr>
      <w:ind w:left="1701" w:firstLine="0"/>
    </w:pPr>
  </w:style>
  <w:style w:type="character" w:customStyle="1" w:styleId="GeneralAviation">
    <w:name w:val="GeneralAviation"/>
    <w:basedOn w:val="DefaultParagraphFont"/>
    <w:uiPriority w:val="1"/>
    <w:qFormat/>
    <w:rsid w:val="00C14CED"/>
    <w:rPr>
      <w:color w:val="A25EAB"/>
    </w:rPr>
  </w:style>
  <w:style w:type="paragraph" w:customStyle="1" w:styleId="Normal0">
    <w:name w:val="Normal0"/>
    <w:basedOn w:val="Normal"/>
    <w:qFormat/>
    <w:rsid w:val="00C14CED"/>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C14CED"/>
    <w:rPr>
      <w:sz w:val="20"/>
    </w:rPr>
  </w:style>
  <w:style w:type="table" w:customStyle="1" w:styleId="TableNormal1">
    <w:name w:val="Table Normal1"/>
    <w:uiPriority w:val="2"/>
    <w:semiHidden/>
    <w:unhideWhenUsed/>
    <w:qFormat/>
    <w:rsid w:val="00C14CED"/>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14CED"/>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C14CE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C14CED"/>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C14CED"/>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3874</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2023-10-18T09:45:00Z</dcterms:created>
  <dcterms:modified xsi:type="dcterms:W3CDTF">2023-10-18T09:45:00Z</dcterms:modified>
</cp:coreProperties>
</file>