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EFEFE"/>
  <w:body>
    <w:p w:rsidR="00000000" w:rsidRDefault="00530575">
      <w:pPr>
        <w:jc w:val="center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ЗАКОН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ТРУДОВАТА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МИГРАЦИЯ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ТРУДОВАТА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МОБИЛНОСТ</w:t>
      </w:r>
    </w:p>
    <w:p w:rsidR="00000000" w:rsidRDefault="00530575">
      <w:pPr>
        <w:spacing w:before="283"/>
        <w:ind w:firstLine="850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сила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21.05.2016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.</w:t>
      </w:r>
    </w:p>
    <w:p w:rsidR="00000000" w:rsidRDefault="00530575">
      <w:pPr>
        <w:spacing w:before="283"/>
        <w:ind w:firstLine="850"/>
        <w:jc w:val="both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Обн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.33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Април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2016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.97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Декември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2016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.97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Декември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2017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.24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Март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2018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.34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Апри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л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2019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.21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12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Март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2021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502-01-100/23.12.2015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чужбина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напускат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напускат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напускането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дискриминация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привилегии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сексуална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възраст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елигиозни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убеждения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синдикални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психически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висококвалифицираните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МИГРАЦ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ДЪРЖАВИ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търсещо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прекъсване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средносписъчната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- 35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неблагоприятни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самостоятелно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касаещи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6 - 8, 10, 14, 16, 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корабоплаване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убежище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убежището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бежанците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акредитирани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акредитирани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кореспонденти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осведомяване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убежището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бежанците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убежище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бежанците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експулсирането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еднократна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туристически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туроператор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ператор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хотелиер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еднократна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нотариално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11.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инициатива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освободил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приравнени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уволнение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процесуален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допуснато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разсрочване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отсрочване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ликвидация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несъстоятелност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санкциониран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редходен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Алинея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2,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6 - 13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12. (1)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уговореното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процесуален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завръщането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обичайното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изплати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предяви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обичайното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процесуален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изплатеното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целесъобразност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творчески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федерации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Единно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работа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преподаватели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академичните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артисти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треньори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федерации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съюз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нституция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брутната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висококвалифицирана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неподновяване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Сезонна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заетос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прекъсване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еднократно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застраховки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жилището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жилището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приспада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жилището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еднократно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произтича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Вътрешнокор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поративен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трансфер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32.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отрицателно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убежище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произтича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студенти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стажанти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36.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академична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академична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студенти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краткосрочна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седмично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учебната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ваканции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теоретично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убежище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произтича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работа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необхванати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превишаване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унищожаван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42.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11;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внесена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VIII.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01.01.2017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унищожаване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неблагоприятно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ангажименти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изпадне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затруднение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47.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47 -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изпадне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неплатежоспособност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затрудненията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внесена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РАВНО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ТРЕТИРАНЕ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49.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равнопоставени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посредничество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почивките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възраст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колективното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договаряне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рофесионални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плащанията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пенсии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старост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инвалидност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смърт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засягат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1231/2010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883/2004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987/2009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L 344/1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лащанията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преживелите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съпрузи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сдружаване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присъединяване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съсловни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привилегии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засягат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облекчения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3,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надбавки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безработица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възпрепятстват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стипендии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49,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обичайно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IV.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облекчения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обичайното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облекчения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равнопоставени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4, 6 - 11.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равнопоставени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надбавки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безработица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студенти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ученици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доброволци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облекчения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обичайното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49,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краткосрочна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3 - 6,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62.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ЕВРО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ПЕЙСКИЯ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СЪЮЗ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492/2011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L 141/1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потърсят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законоустановения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ощетени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твърди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ограниченията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дискрими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2016/589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(EURES),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нататъшно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492/2011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1296/2013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L 107/1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наблюдение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подкрепа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своевременно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безплатна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леснодостъпна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актуална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58.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самостоятелно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ДВУСТРАННО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ДЪРЖАВИ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отчитане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общоевропейски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инициативи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присъединила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говарящи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приоритетно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ждународните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СЛУЖБИ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СОЦИАЛНИ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ВЪПРОСИ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посредничество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злоупотреби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задгранични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конкурс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седма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СТАТИСТИЧЕСКИ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ДАННИ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статистически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оттеглено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862/2007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статистиката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311/76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L 199/23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референтни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календарна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статистическите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статистически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осма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ДОКЛАДВАНЕ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66.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Докладванет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злоупотреби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Шенген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девета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КОНТРОЛ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67.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посещават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легитимират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обяснения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осведомяват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разгласяват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сведенията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облагодетелстване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прокуратурата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69.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упълномощени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подкрепа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подпомагане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Упълномощаването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нотариална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наблюдава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начисляването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изплащането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начисляване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плащания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отговорност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пряк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подизпълнител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подизпъ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информирали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вместо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произтичащи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4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интернет страницата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актуален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АДМИНИСТРАТИВНОНАКАЗАТЕЛНИ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530575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76.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законоустановения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77.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препоръчано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адреса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адреса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5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интернет страница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6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интернет страница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доколкото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Висококвалифицирана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етентен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седалище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поделение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седалище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преимуществен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капитал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гласовете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емитира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акционерен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капитал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половината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надзорния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Доброволец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доброволческа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доброволческа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седалище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9.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10.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11.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12.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докторска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докторски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творчески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увеличи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познанията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човека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13.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14.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15.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доброволческа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16.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поделение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седалище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броволческа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солидарна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преследваща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нестопански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безвъзмездно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17.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18.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19.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20.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21.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22.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23.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персонал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касаещи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24.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седалище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25.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повтарящо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поредица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отколкото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текущи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26.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27.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стопанските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28.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поделение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седалище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Студент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курс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предучилищното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ученически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Ученик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предучилищното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ученически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29.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напускането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31.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убежище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убежището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бежанците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2003/109/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L 16/44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2004/38/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1612/68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64/221/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68/360/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72/194/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73/148/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75/34/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75/35/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90/364/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90/365/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93/96/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L 158/77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2003/86/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септември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2004/81/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2009/50/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коквалифицирана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(OB, L 155/17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2009/52/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(OB, L 168/24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2011/98/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(OB, L 343/1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2014/36/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февруари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(OB, L 94/375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2014/54/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контекста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(OB, L 128/8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2014/66/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(OB, L 157/1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2016/801/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доброволческа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ученически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"au pair"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L 132/21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26, 86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18, 30, 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26,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32, 41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49, 59, 85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68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54, 79, 101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настъпилит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."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67 - 74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запетаята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запетаята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запетаята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14, 14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27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36, 37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29, 52,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13, 26,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12, 32, 36, 74, 82, 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16, 23, 52, 68,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14,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религиозни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16 - 20."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удължено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еднократно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ускорена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веднъж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1030/2002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произтичащите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изтекъл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освободен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539/2001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освободени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."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малолетните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1."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запетая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запетая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1030/2002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1030/2002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"mobile ICT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евентуални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засягащи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."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запетая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"24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запетая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запетая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"ICT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"mobile ICT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."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убежището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бежанците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53, 67,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96,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43, 71, 86, 88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30,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29, 46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66, 88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35, 47,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Конституционния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21, 42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14,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запетая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самоличност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1030/2002,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1030/2002,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"ICT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1030/2002,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"mobile ICT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;".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VIII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-------------------------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43-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събрание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подпечатан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събрание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РАБОТИ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неприключили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МОБИЛНОСТ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БЪЛГАРИЯ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530575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31.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01.06.2021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неприключили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. . . . . . . . . . . . . . . . . . . . . . . . . . . . . . . 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Параграф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Шенген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Шенгенската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Румъния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Параграфи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8 - 12, 15 - 22, 28, 31, § 34,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§ 35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Параграф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февруари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530575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530575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530575">
      <w:pPr>
        <w:ind w:firstLine="850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Релевантни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законодателство</w:t>
      </w:r>
    </w:p>
    <w:p w:rsidR="00000000" w:rsidRDefault="00530575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u w:val="single"/>
          <w:shd w:val="clear" w:color="auto" w:fill="FEFEFE"/>
        </w:rPr>
        <w:t>Директиви</w:t>
      </w:r>
      <w:r>
        <w:rPr>
          <w:rFonts w:eastAsia="Times New Roman"/>
          <w:b/>
          <w:bCs/>
          <w:sz w:val="24"/>
          <w:szCs w:val="24"/>
          <w:highlight w:val="white"/>
          <w:u w:val="single"/>
          <w:shd w:val="clear" w:color="auto" w:fill="FEFEFE"/>
        </w:rPr>
        <w:t>:</w:t>
      </w:r>
    </w:p>
    <w:p w:rsidR="00000000" w:rsidRDefault="00530575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2016/801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доброволческа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ученически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"au pair"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2014/66/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2014/54/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контекста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2014/36/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февруари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2011/98/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2009/52/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2009/50/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висококвалифицирана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2004/38/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държавите–членки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1612/68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64/221/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68/360/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72/194/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73/148/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75/34/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75/35/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90/364/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 90/365/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93/96/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2003/109/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</w:p>
    <w:p w:rsidR="00000000" w:rsidRDefault="00530575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u w:val="single"/>
          <w:shd w:val="clear" w:color="auto" w:fill="FEFEFE"/>
        </w:rPr>
        <w:t>Регламенти</w:t>
      </w:r>
      <w:r>
        <w:rPr>
          <w:rFonts w:eastAsia="Times New Roman"/>
          <w:b/>
          <w:bCs/>
          <w:sz w:val="24"/>
          <w:szCs w:val="24"/>
          <w:highlight w:val="white"/>
          <w:u w:val="single"/>
          <w:shd w:val="clear" w:color="auto" w:fill="FEFEFE"/>
        </w:rPr>
        <w:t>:</w:t>
      </w:r>
    </w:p>
    <w:p w:rsidR="00000000" w:rsidRDefault="00530575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2016/589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(EURES),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нататъшно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492/2011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1296/2013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492/2011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Съюза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1231/2010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3/2004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987/2009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гражданство</w:t>
      </w:r>
    </w:p>
    <w:p w:rsidR="00000000" w:rsidRDefault="00530575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862/2007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статистиката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311/76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</w:p>
    <w:p w:rsidR="00530575" w:rsidRDefault="00530575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sectPr w:rsidR="00530575">
      <w:pgSz w:w="12240" w:h="15840"/>
      <w:pgMar w:top="1080" w:right="1080" w:bottom="1080" w:left="1080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E98"/>
    <w:rsid w:val="00530575"/>
    <w:rsid w:val="0072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i.government.bg/" TargetMode="External"/><Relationship Id="rId5" Type="http://schemas.openxmlformats.org/officeDocument/2006/relationships/hyperlink" Target="http://www.gli.government.bg/" TargetMode="External"/><Relationship Id="rId4" Type="http://schemas.openxmlformats.org/officeDocument/2006/relationships/hyperlink" Target="http://www.gli.government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17411</Words>
  <Characters>99243</Characters>
  <Application>Microsoft Office Word</Application>
  <DocSecurity>0</DocSecurity>
  <Lines>827</Lines>
  <Paragraphs>232</Paragraphs>
  <ScaleCrop>false</ScaleCrop>
  <Company>HP Inc.</Company>
  <LinksUpToDate>false</LinksUpToDate>
  <CharactersWithSpaces>116422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LGeorgieva</dc:creator>
  <cp:lastModifiedBy>LGeorgieva</cp:lastModifiedBy>
  <cp:revision>2</cp:revision>
  <dcterms:created xsi:type="dcterms:W3CDTF">2021-03-15T16:18:00Z</dcterms:created>
  <dcterms:modified xsi:type="dcterms:W3CDTF">2021-03-15T16:18:00Z</dcterms:modified>
</cp:coreProperties>
</file>