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847864937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ТАРИФА ЗА ТАКСИТЕ, КОИТО СЕ СЪБИРАТ ПО ЗАКОНА ЗА ЛЕКАРСТВЕНИТЕ ПРОДУКТИ В ХУМАННАТА МЕДИЦИНА</w:t>
      </w:r>
    </w:p>
    <w:p w:rsidR="00000000" w:rsidRDefault="00D93BAE">
      <w:pPr>
        <w:spacing w:after="0" w:line="240" w:lineRule="auto"/>
        <w:ind w:firstLine="1155"/>
        <w:textAlignment w:val="center"/>
        <w:divId w:val="41872301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Приета с ПМС № 296 от 04.12.2007 г.</w:t>
      </w:r>
    </w:p>
    <w:p w:rsidR="00000000" w:rsidRDefault="00D93BAE">
      <w:pPr>
        <w:spacing w:before="100" w:beforeAutospacing="1" w:after="100" w:afterAutospacing="1" w:line="240" w:lineRule="auto"/>
        <w:ind w:firstLine="1155"/>
        <w:jc w:val="both"/>
        <w:textAlignment w:val="center"/>
        <w:divId w:val="113713342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ДВ. бр.106 от 14 декември 2007г., изм. ДВ. бр.102 от 30 декември 2010г., изм. и доп. ДВ. бр.39 от 22 май 2012г., изм. и доп. ДВ. бр.61 от 25 юли 2014г., изм. и доп. ДВ. бр.9 от 2 февруари 2016г., изм. ДВ. бр.17 от 23 февруари 2018г., изм. ДВ. бр.26 от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29 март 2019г., изм. и доп. ДВ. бр.90 от 11 ноември 2022г.</w:t>
      </w: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91169386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Такси, събирани от Изпълнителната агенция по лекарствата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428161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За оценка на документация за разрешаване за употреба на лекарствен продукт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088187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разрешав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 за употреба на лекарствен продукт по чл. 27, ал. 1 от Закона за лекарствените продукти в хуманната медицина (ЗЛПХМ), лекарствен продукт по чл. 30, ал. 1 ЗЛПХМ, лекарствен продукт по чл. 30, ал. 2 ЗЛПХМ и лекарствен продукт по чл. 31 ЗЛПХМ: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53374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нацио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нална процедура - 15 000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71818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процедура по взаимно признаване, когато Република България е референтна страна - 16 000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48215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процедура по взаимно признаване, когато Република България е засегната страна - 8000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26594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по децентрализирана процедур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когато Република България е референтна страна - 20 000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510801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по децентрализирана процедура, когато Република България е засегната страна - 10 000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43185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разрешаване за употреба на генеричен лекарствен продукт по чл. 28 ЗЛПХМ и на лекарствен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по чл. 32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637605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национална процедура - 7500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91038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процедура по взаимно признаване, когато Република България е референтна страна - 12 000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65454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процедура по взаимно признаване, когато Република България е засегната страна - 6000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32990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децентрализирана процедура, когато Република България е референтна страна - 14 000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524806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по децентрализирана процедура, когато Република България е засегната страна - 7000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545917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разрешаване за употреба на лекарствен продукт по чл. 29, ал. 1 ЗЛПХМ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лекарствен продукт по чл. 29, ал. 2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597137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национална процедура - 15 000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29485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процедура по взаимно признаване, когато Република България е референтна страна - 16 000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166432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процедура по взаимно признаване, когато Република България е зас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егната страна - 8000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663131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по децентрализирана процедура, когато Република България е референтна страна - 20 000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183226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по децентрализирана процедура, когато Република България е засегната страна - 10 000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847134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(2) Определената по ал. 1 такса се събира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една лекарствена форма и за едно количество на активното вещество.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38756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всяка различна лекарствена форма, за която заявлението е подадено едновременно с първоначалното заявление за разрешаване за употреба, се събира такса в размер 75 на сто от таксата,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определена по реда на ал. 1.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72415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всяко различно количество на активното вещество, за което заявлението е подадено едновременно с първоначалното заявление за разрешаване за употреба, се събира такса в размер 25 на сто от таксата, определена по реда на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 1.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46248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За лекарствени продукти-алергени такса по ал. 1 се събира за първия алерген от групата алергени, включени в заявлението съгласно наредбата по чл. 42 ЗЛПХМ, а за всеки следващ алерген от групата - такса в размер 10 на сто от определената по ал. 1 такса.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2053727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497114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2. За оценка на документация за разрешаване за употреба на хомеопатичен лекарствен продукт по чл. 36, ал. 1 ЗЛПХМ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0516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 национална процедура: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72803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един източник - 2000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303760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 5 източника - 3500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15461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5 източника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520793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по процедура по взаимно признаване, когато Република България е референтна страна: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51782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един източник - 4000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12320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 5 източника - 7000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230882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5 източника - 10 000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193369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 процедура по взаимно признаване, когато Република Бълга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 е засегната страна: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56571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един източник - 2000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327172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 5 източника - 3500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97383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5 източника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334320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по децентрализирана процедура, когато Република България е референтна страна: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67175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един източник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99539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 5 източника - 8000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20031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5 източника - 11 000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285064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по децентрализирана процедура, когато Република България е засегната страна: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24537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от един източник - 2500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807315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до 5 източника - 4000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44616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над 5 източника - 5500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4595673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5360864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За оценка на документация за регистрац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на лекарствен продукт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58398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регистрация на хомеопатичен лекарствен продукт по чл. 35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978229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(нова - ДВ, бр. 39 от 2012 г.) за един хомеопатичен лекарствен продукт според произхода на изходните материали (от растителен, хими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чен, биологичен, минерален и др.)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772611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(предишна б. "а" - ДВ, бр. 39 от 2012 г.) за група хомеопатични лекарствени продукти според произхода на изходните материали (до 250 позиции в група от растителен, химичен, биологичен, минерален и др.) - 600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454770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(предишна б. "б" - ДВ, бр. 39 от 2012 г.) за група хомеопатични лекарствени продукти според произхода на изходните материали (от 251 до 500 позиции в група от растителен, химичен, биологичен, минерален и др.) - 8000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96264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(предишна б. "в" - ДВ, бр. 39 от 2012 г.) за група хомеопатични лекарствени продукти според произхода на изходните материали (над 500 позиции в група от растителен, химичен, биологичен, минерален и др.) - 10 000 лв.,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712914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регистрация на традиционен рас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тителен лекарствен продукт по чл. 37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51838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съдържащ до 3 растителни вещества или препарати - 3500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71293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съдържащ над 3 растителни вещества или препарати - 7000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51520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лекарствен продукт по буква "а", съдържащ витамини и/или минерали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27653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екарствен продукт по буква "б", съдържащ витамини и/или минерали - 8500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335428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926345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4. (1) За оценка на документация за разширяване обхвата на издадено разрешение за употреба на лекарствен продукт се събират следните такси за всяка отделна промяна по чл. 66,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ал. 1 ЗЛПХМ при: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32495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разрешение за употреба по национална процедура - 7000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501913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разрешение за употреба по процедура по взаимно признаване - 8000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68906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разрешение за употреба по децентрализирана процедура - 9000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271249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Определената по ал. 1 такса се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ъбира за една лекарствена форма и за едно количество на активното вещество.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15247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За всяка различна лекарствена форма, за която заявлението е подадено едновременно с първоначалното заявление за разрешаване за употреба, се събира такса в размер 75 на сто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таксата, определена по реда на ал. 1.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009007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всяко различно количество на активното вещество, за което заявлението е подадено едновременно с първоначалното заявление за разрешаване за употреба, се събира такса в размер 25 на сто от таксата, определена по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 на ал. 1.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330720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790169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5. За оценка на документация за промени в издадено разрешение за употреба на лекарствен продукт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22225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 промяна тип IА: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497373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национална процедура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4693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по процедура по взаимно признаване: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658400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епублика България е референтна страна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976310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засегната страна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669576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децентрализирана процедура: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091904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референтна страна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47758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когато Република България е засегната страна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14463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промяна тип IБ: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54322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национална процедура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62982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процедура по взаимно признаване: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121759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референтна страна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818790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засегната страна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52217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децентрализирана процедура: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518610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референтна страна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35853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засегната страна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136533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промяна тип II: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810308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по национална процедура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983184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по процедура по взаимно признаване: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267762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референтна страна - 2000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91022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засегната страна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858706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по децентрализирана процедура: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506177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референтна страна - 2500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8060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когато Република България е засе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гната страна - 1500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4122410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06902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6. За прехвърляне на права върху издадено разрешение за употреба на лекарствен продукт се събира такса в размер 2000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3262029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23096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7. За одобряване на изменение във външния вид и/или в текста на опаковката и/или в текста на листов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 се събира такса в размер 100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50545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907881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8. (1) (Доп. - ДВ, бр. 39 от 2012 г.) За оценка на документация за подновяване на разрешение за употреба на лекарствен продукт се събира такса в размер 50 на сто от определената по реда на чл. 1, съответно на чл.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такса.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43179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оценка на документация за подновяване на удостоверение за регистрация на лекарствен продукт се събира такса в размер 50 на сто от определената по реда на чл. 3 такса.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2551619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797472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9. (1) За оценка на документация за издаване на разрешение за пара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лелен внос на лекарствен продукт се събира такса в размер 2000 лв. за една лекарствена форма, за едно количество на активното вещество на лекарствения продукт и внос от една държава.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28433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всяка различна лекарствена форма, количество на активното вещество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различна държава, независимо дали заявлението е подадено едновременно или не с първоначалното заявление за разрешаване на паралелен внос, се събира такса в размер 50 на сто от таксата, определена по реда на ал. 1.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942346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29699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10. За оценка на документация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заличаване на разрешение за употреба, съответно на удостоверение за регистрация на лекарствен продукт, се събира такса в размер 50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712459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3845240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11. За оценка на документация за разрешаване на реклама на лекарствен продукт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96541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разрешаване на реклама на един лекарствен продукт независимо от лекарствената форма и количеството на активното вещество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164066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разрешаване на промяна в одобрена реклама на лекарствен продукт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751453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разрешаване на напомняща реклама на лекарствен продукт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4707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разрешаване на реклама, съдържаща повече от един лекарствен продукт - за всеки лекарствен продукт, включен в рекламния материал - 500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457187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913727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12. (1) За годишно поддържане на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азрешение за употреба на лекарствен продукт се събира такса в размер 250 лв.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147459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За годишно поддържане на удостоверение за регистрация на лекарствен продукт се събира такса в размер 100 лв.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55353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годишно поддържане на разрешение за паралелен внос на лек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арствен продукт се събира такса в размер 250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762069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Таксата по ал. 1, съответно по ал. 2 или ал. 3, се дължи за първата и за всяка следваща година от датата на издаване на разрешението за употреба, съответно на удостоверението за регистрация на лекарствен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продукт.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257859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Таксата по ал. 1, съответно по ал. 2 или ал. 3, се заплаща към датата на издаване на разрешението за употреба, съответно на удостоверението за регистрация или на разрешението за паралелен внос за съответната година.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399982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42175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13. (1) За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документация за разрешаване на клинични изпитвания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54152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клинично изпитване на лекарствен продукт по чл. 109, т. 2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582555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клинично изпитване първа фаза - 3000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09985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клинично изпитване втора фаза - 2500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05708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клинично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зпитване трета фаза - 2000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43223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клинично изпитване на лекарствен продукт по чл. 109, т. 3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799850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клинично изпитване първа фаза - 2500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229625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клинично изпитване втора фаза - 2000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295930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клинично изпитване трета фаза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929352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клинично изпитв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биоеквивалентност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бионаличност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76753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д) клинично изпитване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фармакокинетика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447981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неинтервенционално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проучване - 400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376743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клинично изпитване, което включва различни фази и/или видове, се заплаща съответно най-високата такс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ал. 1 и по 50 на сто за всяка друга включена фаза.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87892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оценка на документация за извършване на съществена промяна в клинично изпитване се събира такса в размер 30 на сто от определената в ал. 1 такса.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20859110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238637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13а. (Нов - ДВ, бр. 90 от 2022 г.) (1)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оценка на заявление и досие за разрешаване на клинично изпитване на лекарствен продукт по реда на Регламент (ЕС) № 536/2014 на Европейския парламент и на Съвета от 16 април 2014 г. относно клиничните изпитвания на лекарствени продукти за хуманна употреба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за отмяна на Директива 2001/20/ЕО (ОВ, L 158 от 27 май 2014 г.), наричан по-нататък "Регламент (ЕС) № 536/2014",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693916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клинично изпитване, което включва само Република България и Република България е докладваща държава членка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6300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427679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клинично изпитване, което включва Република България и друга/други държава/държави членка/членки и Република България е докладваща държава членка - 11 400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95393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клинично изпитване, по което Република България е засегната държава членка - 4600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85683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клинично изпитване по т. 1, по което се добавя/добавят допълнително засегната/засегнати държава/държави членка/членки - 5100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176358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клинично изпитване,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което Република България е докладваща държава членка и се добавя/добавят допълнително засегната/засегнати държава/държави членка/членки - 2400 лв. за всяко заявление.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782341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Когато клиничното изпитване по ал. 1 е с ниска степен на интервенция по смисъла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2, параграф 2, подпараграф 3 от Регламент (ЕС) № 536/2014, се събира такса в размер 75 на сто от съответната такса по ал. 1.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241059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Когато клиничното изпитване по ал. 1 е с изпитван лекарствен продукт за модерна терапия, лекарствен продукт, съдържащ генет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 модифицирани организми, или лекарствен продукт, попадащ в обхвата на т. 1 от Приложение I към Регламент (ЕО) № 726/2004 на Европейския парламент и на Съвета от 31 март 2004 година за установяване на процедури на Съюза за разрешаване и контрол на лекар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ствени продукти за хуманна и ветеринарна употреба и за създаване на Европейска агенция по лекарствата (ОВ, L 136 от 30 април 2004), наричан по-нататък "Регламент (ЕО) № 726/2004", съответната такса по ал. 1 се събира в двоен размер.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96630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Чл. 13б. (Нов - ДВ, бр.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 от 2022 г.) (1) За оценка на заявление и досие за съществена промяна в клинично изпитване на лекарствен продукт по реда на Регламент (ЕС) № 536/2014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959895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съществена промяна, засягаща само част I или част I и част II от докла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за оценка на клиничното изпитване, по което Република България е докладваща държава членка - 3200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707489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съществена промяна, засягаща само част I или част I и част II от доклада за оценка на клиничното изпитване, по което Република България е засегн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 държава членка - 1800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957096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съществена промяна, засягаща само част II от доклада за оценка на клиничното изпитване - 1300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00539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Когато съществената промяна по ал. 1 е за клинично изпитване с ниска степен на интервенция по смисъла на чл. 2,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парар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подпараграф 3 от Регламент (ЕС) № 536/2014, се събира такса в размер 75 на сто от съответната такса по ал. 1.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1739123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Когато съществената промяна по ал. 1 е за клинично изпитване с изпитван лекарствен продукт за модерна терапия, лекарствен продукт, съдъ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 генетично модифицирани организми, или лекарствен продукт, попадащ в обхвата на т. 1 от Приложение I към Регламент (ЕО) № 726/2004, съответната такса по ал. 1 се събира в двоен размер.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5271348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13в. (Нов - ДВ, бр. 90 от 2022 г.) За оценка на годишен доклад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безопасност на изпитван лекарствен продукт се събира такса в размер 1800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78748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14. (1) За оценка на документация за издаване на разрешение за производство на лекарствени продукти и/или на активни вещества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595015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за производство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стерилни лекарствени продукти извън посочените в т. 3 - 6 - 15 000 лв.;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873015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производство на нестерилни лекарствени продукти извън посочените в т. 3, 4, 5 или 6 - 10 000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89328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производство на биологични лекарствени продукти - 20 000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20366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оизводство на растителни лекарствени продукти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478049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производство на хомеопатични лекарствени продукти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25327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за производство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радиофармацевтични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лекарствени продукти - 10 000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05527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за производство на активни вещества - 10 000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38791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При подаване на заявление за едновременно разрешаване на повече от един вид производство по ал. 1 таксата се определя като сума от всеки вид по съответната точка по ал. 1, намалена с 25 на сто.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8349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оценка на документация за извършване на промяна в изд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адено разрешение за производство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578476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промяна на лице по чл. 148, т. 2 ЗЛПХМ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084256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лице по чл. 149 ЗЛПХМ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74113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промяна на оборудването за производство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53882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промяна на местонахожде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нието или преустройство на някой от обектите за производство, контрол или съхранение, или включване на ново място на производство - за всеки отделен обект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11841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промяна или добавяне на производствена операция - за всяка отделна операция - 500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722785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 добавяне на нов вид производство - таксата по съответната точка по ал. 1;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769290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при добавяне на нова лекарствена форма в рамките на издаденото разрешение за производство - 1000 лв. за всяка добавена форма;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37198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8. при добавяне на нов лекарствен продукт, съответно ново активно вещество в рамките на издаденото разрешение за производство за всяко добавено активно вещество, съответно за всеки лекарствен продукт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47322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при промяна в съдебната регистрация на 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тежателя на разрешението за производство - 50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206811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Таксите по ал. 1, 2 и 3 се прилагат и при издаване на разрешение за производство на лекарствени продукти, предназначени за клинично изпитване.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623079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73901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15. (1) За оценка на документация за издаване на разр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ешение за внос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004559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разрешение за внос на лекарствени продукти - 10 000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5571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разрешение за внос на активни вещества - 15 000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2139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подаване на заявление за получаване на разрешение за внос едновременно на лекарствени проду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 и на активни вещества таксата се определя като сбор от таксите по ал. 1, намален с 25 на сто.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53790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оценка на документация за извършване на промяна в издадено разрешение за внос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757408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промяна на лицето по чл. 161, ал. 2, 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ЗЛПХМ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64905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активните вещества и формите на лекарствените продукти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27983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 промяна на лабораторията по чл. 161, ал. 2, т. 2 ЗЛПХМ - 3000 лв.;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620158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промяна на помещенията за съхранение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81710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промяна в съде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бната регистрация на търговеца - 50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679050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Таксите по ал. 1, т. 1 и по ал. 3 се събират и при издаване на разрешение за внос на лекарствени продукти, предназначени за клинично изпитване.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644582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6308680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16. (1) За оценка на документация за издаване на разрешение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търговия на едро с лекарствени продукти се събира такса в размер 7500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90941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оценка на документация за извършване на промяна в издадено разрешение за търговия на едро с лекарствени продукти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792259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промяна на складово помещени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(промяна на адреса или включване на ново складово помещение) - 500 лв.;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83777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закриване на складово помещение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946578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промяна на отговорния магистър-фармацевт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434613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за промяна на ръководител на склад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729608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за промяна в съдебната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регистрация на търговеца - 50 лв.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2599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издаване на удостоверение за регистрация за търговия на едро с лекарствени продукти се събира такса в размер 7500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13350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За оценка на документация за извършване на промяна в издадено удостоверение за търговия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едро с лекарствени продукти се събира такса в размер 500 лв. за всяка промяна.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369988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379599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17. (Изм. - ДВ, бр. 39 от 2012 г.) (1) За оценка на документация за издаване на разрешение за търговия на дребно с лекарствени продукти в аптека се събира такса в размер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842006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оценка на документация при промяна на вписаните в регистъра по чл. 230, ал. 1, т. 2 - 5 ЗЛПХМ обстоятелства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48729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промяна на наименованието, вида на търговеца, седалището и адреса на управление на лицето, получило разрешение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08816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името на ръководителя на аптеката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70755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при промяна на адреса на аптеката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832628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промяна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дейностите, които ще се извършват в аптеката - 500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331103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4879390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18. (1) За оценка на документация и издаване на сертификати по ЗЛПХМ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411466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сертификат за лекарствен продукт съгласно сертификационната схема на Световната здравна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зация (СЗО)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724291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сертификат за произход на лекарствен продукт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089585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сертификат за свободна продажба на лекарствен продукт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164324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сертификат за освобождаване на партида от лекарствен продукт по чл. 69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095206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въз основа на изпитване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 използване на животни - за ваксина срещу едно заболяване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819740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въз основа на изпитване с използване на животни - за ваксина срещу едно заболяване - 5100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182351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сертификат за освобождаване на партида от лекарствен продукт по чл. 70 ЗЛПХМ: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27699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алб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умин - 1190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39413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имуноглобулини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- 1320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1529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фактори на кръвосъсирването - 2380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628124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сертификат за освобождаване на партиди лекарствени продукти по чл. 69 съгласно сертификационната схема на СЗО: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151943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без извършване на изпитване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3766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въз осно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на изпитване без използване на животни - за ваксина срещу едно заболяване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828368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въз основа на изпитване с използване на животни - за ваксина срещу едно заболяване - 5100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95766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В случаите по ал. 1, т. 4 и 6 при ваксини срещу две или повече забо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лявания таксата се образува от сумата по отделните позиции.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996174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издаване на сертификат по ал. 1, т. 1, 2 или 3 в срок до два работни дни съответната такса по ал. 1 се събира в двоен размер.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594705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637879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18а. (Нов - ДВ, бр. 61 от 2014 г.) За вписване в регистър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чл. 167г ЗЛПХМ на производител, вносител или търговец на едро с активни вещества се събира такса в размер 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400010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21716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18б. (Нов - ДВ, бр. 61 от 2014 г.) За вписване в регистъра по чл. 212а, ал. 4 ЗЛПХМ на лице, осъществяващо посредничество в областт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лекарствените продукти, се събира такса в размер 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7032895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10745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19. За съгласуване на инвестиционни проекти за строителство на нови и/или преустройство на съществуващи обекти, свързани с производството на лекарствени продукти,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631142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 проекти за строителство - 750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24079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по проекти за преу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стройство - 500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5862331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6266191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20. (1) При извършване на инспекции и проверки по ЗЛПХМ се заплащат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38622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 при проверка на място във връзка с оценка за съответствието на условията за производство, контрол и съхранение с изискванията на Добрата произв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одствена практика в хода на процедура по разрешаване или по промяна на разрешено производство - 3000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18795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проверка на място на територията на Република България във връзка с оценка за съответствието на условията за производство, контрол и съхранение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изискванията на Добрата производствена практика извън случаите по т. 1 - 5000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84524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61 от 2014 г.) при проверка на място във връзка с процедура по чл. 46, ал. 2 или 3 ЗЛПХМ или по чл. 162, ал. 5 ЗЛПХМ - 10 000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41056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във връзка с проц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едура по разрешаване за употреба на лекарствен продукт за установяване на съответствие с изискванията на Добрата клинична практика: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628666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на територията на Република България - 3000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025978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в чужбина - 6000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37510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заявяване на инспекция от страна на прои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зводител, вносител или притежател на разрешение за употреба на лекарствени продукти извън случаите по т. 1 - 4 - 15 000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424380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(нова - ДВ, бр. 61 от 2014 г.) при инспекция на територията на Република България на производител на активни вещества във връзка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оценка за съответствието на условията за производство, контрол и съхранение с изискванията на Добрата производствена практика се събира такса в размер 3000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05985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(нова - ДВ, бр. 61 от 2014 г.) при инспекция на територията на Република България на внос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 или търговец на едро с активни вещества във връзка с оценка за съответствието на условията за контрол и съхранение с изискванията на Добрата дистрибуторска практика се събира такса в размер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35533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(нова - ДВ, бр. 90 от 2022 г.) при инспекция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установяване на съответствие с изискванията на Добрата дистрибуторска практика - 6900 лв. за всеки склад за търговия на едро с лекарствени продукти;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21146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(нова - ДВ, бр. 90 от 2022 г.) при инспекция за установяване на съответствие с изискванията на Добрата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линична практика - 8600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104560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извършване на допълнителна инспекция или проверка след констатирано несъответствие с изискванията на Добрата производствена практика се събира съответната такса по ал. 1.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98364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В таксите по ал. 1 и 2 не се включват разходи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за командировка.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030910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978170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21. За оценка на документация за определяне принадлежността на продукт се събира такса в размер 200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9793793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324349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21а. (Нов - ДВ, бр. 61 от 2014 г.) (1) За оценка на информация, свързана с проследяване на лекарствената безопасност,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748268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пряко съобщение до медицинските специалисти - 200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9716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обучителни или други материали за минимализиране или за предотвратяване на риска – 600 лв. за всеки материал.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244206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3а оценка на информацията при промяна в обучителен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друг материал се събира такса в размер 50 на сто от таксата по ал. 1, т. 2.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959338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99988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22. За дейности по чл. 21, ал. 1, т. 7 ЗЛПХМ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63668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научна консултация по въпроси, свързани с подготовка на документация, преди подаване на зая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 за съответна процедура по: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82743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глава трета ЗЛПХМ - 2500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523908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глава четвърта ЗЛПХМ - 2000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175638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глава пета ЗЛПХМ - 1500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104633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г) глава осма ЗЛПХМ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153962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глава единадесета ЗЛПХМ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538870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изготвяне на становище по искане на физическо или юридическо лице извън случаите по т. 1 се заплаща такса в размер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600677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(отм. - ДВ, бр. 17 от 2018 г.)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3639417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00312335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Такси, събирани от Изпълнителната агенция по лекарствата, за извършване на хими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ко-фармацевтични експертизи, лабораторни анализи и изпитвания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066937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23. (1) За извършване на химико-фармацевтични експертизи, лабораторни анализи или изпитвания чрез използването на физични и физико-химични методи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67612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определяне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степен на оцветяване спрямо стандартни разтвори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160293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 определяне на бистрота и степен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опалесценция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течности спрямо стандартни разтвори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7880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подготовка на пробата чрез екстракция - 80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357077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екстрахиране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Соксклет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264906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подготовка на пробата чрез ротационен вакуум изпарител - 140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867601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подготовка на пробата чрез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прекристализиране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- 30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42004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подготовка на пробата чрез ултразвук - 40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968515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мембранно филтруване - 30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026530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центрофугиране - 20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40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филтруване чре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вакуумпомпа - 24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9812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изпитване на идентичност чрез цветни/химични реакции - 80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926723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количествено определяне чрез титруване - 200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139491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определяне на загуба при сушене - 200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8639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определяне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осмоларитет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полумикрометод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237848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оп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ределяне на относителна плътност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пикнометричен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 - 40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29856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определяне на съдържанието на вода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Karl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Fisher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полумикрометод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- 80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06299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определяне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стойност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потенциометрично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- 60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37059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определяне показател на пречупване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99851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определяне точка на топене - 70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742730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определяне на число (киселинно, хидроксилно, йонно,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пероксидно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осапунително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590513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изпитване на граници за съдържание на алкални примеси в мастни киселини - 60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26945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изпитване на граници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съдържание на амоняк, на калций, на хлориди, на магнезий, на магнезий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алкалоземни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метали, фосфат, калий, сулфати (стойност за един елемент) - 60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941195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 абсорбционна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видимата и ултравиолетовата област - идентичност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213856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абсорбционна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видимата и ултравиолетовата област - количествено определяне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99905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25. абсорбционна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видимата и ултравиолетовата област - за чистота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22967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26. абсорбционна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видимата и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лтравиолетовата област - за цвят (бистрота на разтвори) - 200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70938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ААS на елемент (стойност за един елемент)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94204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28. ААS на калай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78781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29. високоефективна течна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количествено определяне на активното вещество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667508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високоефективна течна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определяне на съдържанието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975690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31. високоефективна течна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определяне съдържанието на примеси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433727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инфрачервена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спектрофотометрия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идентичност - 400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419389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33. газова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ичествено определяне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42069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тънкослойна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- 400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03271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тънкослойна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количествено определяне, чрез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денситометрия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561279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извършване на химико-фармацевтични експертизи, лабораторни анализи или изпитвания чрез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ползване на фармацевтични методи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22830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микроскопски анализ и измерване големината на микрочастици (кристали в лекарствен продукт) - 20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20766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 на лекарствени вещества - 30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60364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определяне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разпадаемост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лекарствени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 - 300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152590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определяне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разпадаемост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супозитории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песарии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258453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определяне на външен вид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органолептични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показатели на субстанции и лекарствени вещества - 20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88774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определяне съдържание на алкохол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пикнометрично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- 60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738915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определя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на използваем обем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23212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определяне на средна маса на дозирани лекарствени форми - 30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39966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устойчивост на счупване на лекарствени форми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78295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степен на разтваряне на активно вещество в лекарствени форми (за 6 таблетки) - 1600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079407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видими частици - 20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520192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55299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24. За извършване на химико-фармацевтични експертизи, лабораторни анализи или изпитвания на продукти от растителен произход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857685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определяне индекс на набъбване - 40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243083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определяне на чужди прим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еси в лечебни растения - 20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70227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определяне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лекарствени растения и продукти от растителен произход - 500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3992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определяне на етерични масла в лечебни растения чрез дестилация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76138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определяне на етерични масла в лечебни растения чр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ез газова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хроматография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41432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индекс на горчивина - 40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10063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сух остатък на екстракти - 30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95499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тлъсти масла и осмолени етерични масла в етерични масла - 400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458150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странични естери в етерични масла - 50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959520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загуба при сушене на екстрак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85262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мирис и вкус на етерични масла - 30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36623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вода в етерични масла - 40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475226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включване на официални международни стандартни вещества при анализ (за едно стандартно химично вещество) - 800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7293113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809830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25. За извършване на биологични изпи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твания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39331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изпитване за стерилност: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83962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чрез директна посявка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22179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чрез мембранна филтрация - 350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380745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определяне на микробно съдържание: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45836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определяне на общ брой жизнеспособни микроорганизми - 200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37410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изпитване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 микроорганизми, с идентификация - 250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108069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изпитване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пирогенност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- 170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89601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определяне на бактериални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ендотоксини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vitro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(LAL тест) - 900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410584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378167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26. За лабораторни анализи или изпитвания, които не са посочени в чл. 23, 24 и 25,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събира такса, чийто размер се определя по фактически вложеното време и използваните консумативи. Таксата за всеки час е 10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397438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416716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27. За издаване на заверено копие на разрешение, удостоверение, сертификат или на друг документ се заплаща такса в размер 10 лв. за всеки екземпляр.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7829607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2263378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Такси, събирани от Националния съвет по цени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реимбурсиране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на лекарствените продукти (З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агл. изм. - ДВ, бр. 61 от 2014 г.)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57325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28. (Изм. - ДВ, бр. 39 от 2012 г.) (1) (Изм. - ДВ, бр. 61 от 2014 г., изм. - ДВ, бр. 26 от 2019 г., в сила от 01.04.2019 г.) За оценка на документацията за включване и образуване на цена по чл. 261а, ал. 1 от ЗЛПХМ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лекарствен продукт в Позитивния лекарствен списък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441571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включване на лекарствен продукт, принадлежащ към ново международно непатентно наименование, за което се извършва оценка на здравните технологии - 3000 лв. за първото 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чено в заявлението терапевтично показание;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411674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всяко следващо заявено терапевтично показание, посочено в заявлението по т. 1, се събира такса в размер 50 на сто от таксата по т. 1;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38139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за включване на лекарствен продукт, за който не се извършва оценка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здравните технологии - 1500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32796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(Изм. - ДВ, бр. 26 от 2019 г., в сила от 01.04.2019 г.) За оценка на документация за включване на лекарствен продукт в друго приложение на Позитивния лекарствен списък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15510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включване на лекарс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 продукт с ново международно непатентно наименование, за което се извършва оценка на здравните технологии - 2300 лв. за първото посочено в заявлението терапевтично показание;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61236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всяко следващо заявено терапевтично показание, посочено в заявлението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т. 1, се събира такса в размер 50 на сто от таксата по т. 1;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88390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включване на лекарствен продукт, за който не се извършва оценка на здравните технологии - 800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645100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За оценка на документация при промяна на включен в Позитивния лекарствен списък лека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 продукт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81092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промяна на наименованието на лекарствен продукт - 150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45243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притежателя на разрешението за употреба на лекарствен продукт - 150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70902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промяна на производителя/производителите на лекарс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 продукт - 150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188332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(нова - ДВ, бр. 26 от 2019 г., в сила от 01.04.2019 г.) при промяна на терапевтичните показания на лекарствен продукт с извършване на оценка на здравните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технологии - 1900 лв. за първото посочено в заявлението показание; за всяко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следващо терапевтично показание, посочено в същото заявление, се събира такса в размер 50 на сто от таксата за първото;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632717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(предишна т. 4, доп. - ДВ, бр. 26 от 2019 г., в сила от 01.04.2019 г.) при промяна на показания на лекарствен продукт, без извършван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оценка на здравните технологии - 400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933769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61 от 2014 г., предишна т. 5 - ДВ, бр. 26 от 2019 г., в сила от 01.04.2019 г.) при промяна на цена по чл. 261а, ал. 1 ЗЛПХМ - 400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458895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(предишна т. 6 - ДВ, бр. 26 от 2019 г., в сила от 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.04.2019 г.) при промяна на други вписани в Позитивния лекарствен списък обстоятелства - 150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540416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За оценка на документация за образуване на пределна цена на лекарствен продукт се събира такса в размер 750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762303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(5) За оценка на документация при промяна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образувана пределна цена на лекарствен продукт се събира такса в размер 350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519833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(6) За оценка на документация при промяна на обстоятелства в решение за пределна цена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973893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 промяна на наименованието на лекарствен продукт - 150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957964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притежателя на разрешението за употреба на лекарствен продукт - 150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87912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промяна на производителя/производителите на лекарствен продукт - 150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392592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при промяна на други вписани в регистъра на пределните цени обстоятелства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296644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(7) За оценка на документация за лекарствен продукт, получил разрешение за паралелен внос, за прилагане на образувана пределна цена се събира такса в размер 375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288088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(8) (Отм. - ДВ, бр. 61 от 2014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947454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(9) (Отм. - ДВ, бр. 61 от 2014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963193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(10) (Отм. - ДВ, бр. 61 от 2014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509295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(11) За оценка на документация за регистриране на цена на лекарствен продукт, отпускан без лекарско предписание, се събира такса в размер 200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506799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(12) За оценка на документация при промяна на регистрирана цена на лекарст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 продукт, отпускан без лекарско предписание, се събира такса в размер 100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10812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(13) За оценка на документация при промяна на обстоятелства в решение за регистрирана цена на лекарствен продукт, отпускан без лекарско предписание,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97083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промяна на наименованието на лекарствен продукт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48707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притежателя на разрешението за употреба на лекарствен продукт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289118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при промяна на производителя/производителите на лекарствен продукт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5357731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промяна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 вписани в регистъра на цените обстоятелства - 100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524085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(14) За оценка на документация за лекарствен продукт, получил разрешение за паралелен внос, за прилагане на регистрирана максимална продажна цена се събира такса в размер 100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58465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(15) (Нова - ДВ,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бр. 61 от 2014 г.) За оценка на документация за включване на лекарствен продукт, получил разрешение за паралелен внос, в Позитивния лекарствен списък се събира такса в размер 800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496962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(16) (Нова - ДВ, бр. 9 от 2016 г.) За оценка на документацията за поддър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жане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реимбурсния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статус на включен в Позитивния лекарствен списък лекарствен продукт се събира такса в размер 800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120489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(17) (Нова - ДВ, бр. 26 от 2019 г., в сила от 01.04.2019 г.) За извършване на оценка на здравните технологии на лекарствен продукт се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995176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1500 лв. за първото посочено в заявлението терапевтично показание;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74276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за всяко следващо заявено терапевтично показание, посочено в заявлението по т. 1, се събира такса в размер 50 на сто от таксата по т. 1.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38389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(18) (Нова - ДВ, бр. 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2014 г., предишна ал. 16 - ДВ, бр. 9 от 2016 г., предишна ал. 17 - ДВ, бр. 26 от 2019 г., в сила от 01.04.2019 г.) За издаване на заверено копие на документ се заплаща такса в размер 10 лв. за всеки екземпляр.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5824480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45424911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III "а".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Такси, събирани от Минис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терството на здравеопазването (Нов - ДВ, бр. 61 от 2014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445021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29. (Изм. - ДВ, бр. 39 от 2012 г.) (1) (Изм. - ДВ, бр. 90 от 2022 г.) За оценка на документация за издаване на становище от Етичната комисия за клинични изпитвания се събират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42634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клинично изпитване на лекарствен продукт - 1000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104942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за клинично изпитване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биоеквивалентност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бионаличност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- 800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349837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за клинично изпитване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фармакокинетика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- 800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394636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неинтервенционално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проучване - 400 лв.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6092456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оценка на документац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за извършване на съществена промяна в клинично изпитване се събира такса в размер 30 на сто от съответната такса по ал. 1.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20219271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533136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30. (Изм. - ДВ, бр. 39 от 2012 г., изм. - ДВ, бр. 61 от 2014 г.) За издаване на заверено копие на документ се заплаща такса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размер 10 лв. за всеки екземпляр.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693416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598819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31. (Отм. - ДВ, бр. 39 от 2012 г.)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3723174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07212172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Раздел IV.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Такси, събирани от регионалните здравни инспекции (Нов - ДВ, бр. 39 от 2012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395196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32. (Нов - ДВ, бр. 39 от 2012 г.) (1) За оценка на документация за издаване на удостоверение за регистрация на дрогерия се заплаща такса в размер 200 лв. 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20438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оценка на документация за промяна в удостоверението за регистрация на дрогерия се заплащат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следните такси: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966310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 промяна на адреса на дрогерията - 100 лв.;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7419486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промяна на ръководителя на дрогерията - 100 лв.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11369445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21393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33. (Нов - ДВ, бр. 39 от 2012 г.) За издаване на заверено копие на удостоверение или друг документ се заплаща такса в размер 10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лв. за всеки екземпляр.</w:t>
      </w:r>
    </w:p>
    <w:p w:rsidR="00000000" w:rsidRDefault="00D93BAE">
      <w:pPr>
        <w:spacing w:after="120" w:line="240" w:lineRule="auto"/>
        <w:ind w:firstLine="1155"/>
        <w:jc w:val="both"/>
        <w:textAlignment w:val="center"/>
        <w:divId w:val="517885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before="100" w:beforeAutospacing="1" w:after="260" w:line="240" w:lineRule="auto"/>
        <w:jc w:val="center"/>
        <w:textAlignment w:val="center"/>
        <w:divId w:val="13712983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064336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При прекратяване на започнала процедура внесената такса не се възстановява с изключение на случаите по чл. 43, ал. 4 ЗЛПХМ.</w:t>
      </w: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44763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4001347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2. Лицата по § 13 от преходните и заключителните разпоредби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Закона за лекарствените продукти в хуманната медицина заплащат еднократна такса в размер 1000 лв.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подаване на заявление за привеждане на дейността си в съответствие с изискванията на закона и за издаване на разрешение за търговия на едро с лекарстве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 продукти по реда на закона.</w:t>
      </w: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439107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273170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3. (1) По започналите производства за издаване на разрешения за търговия на дребно с лекарствени продукти, за определяне на пределна цена или регистриране на цена на лекарствени продукти, както и за включване, изключване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промяна на лекарствен продукт в Позитивния лекарствен списък, по реда на Закона за лекарствата и аптеките в хуманната медицина (отм., ДВ, бр. 31 от 2007 г.), за които са платени такси по реда на Тарифата за таксите, които се събират от Министерството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здравеопазването на основание чл. 8, ал. 1 от Закона за лекарствата и аптеките в хуманната медицина, приета с Постановление № 164 на Министерския съвет от 1995 г.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ДВ, бр. 75 от 1995 г.; изм. и доп., бр. 34 от 1996 г., бр. 44 от 1997 г., бр. 65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2000 г., бр. 21 от 2002 г., бр. 59 и 100 от 2003 г.), не се довнасят такси по реда на тази тарифа.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930128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По започналите и незавършили към влизането в сила на тарифата производства за издаване на разрешения за производство на лекарствени продукти, разрешаване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употреба на лекарствени продукти и клинични изпитвания на лекарствени продукти се заплащат такси в размерите, определени в нея.</w:t>
      </w: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7161993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1650940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(Нов - ДВ, бр. 90 от 2022 г.) Тарифата се приема на основание чл. 21, ал. 2 от Закона за лекарствените продукти в хум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анната медицина и чл. 14 от Регламент за изпълнение (ЕС) 2022/20 на Комисията от 7 януари 2022 година за определяне на правила за прилагането на Регламент (ЕС) № 536/2014 на Европейския парламент и на Съвета по отношение на установяването на правила и проц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едури за сътрудничеството на държавите членки при оценяването на безопасността на клиничните изпитвания (ОВ, L 5/14 от 10 януари 2022 г.).</w:t>
      </w: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4612663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312 ОТ 20 ДЕКЕМВРИ 2010 Г. ЗА ИЗМЕНЕНИЕ И ДОПЪЛНЕНИЕ НА НОРМАТ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ИВНИ АКТОВЕ НА МИНИСТЕРСКИЯ СЪВЕТ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4756057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102 ОТ 2010 Г., В СИЛА ОТ 30.12.2010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754735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2093043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7. Постановлението влиза в сила от деня на обнародването му в "Държавен вестник".</w:t>
      </w: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17547355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134643414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56 ОТ 28 МАРТ 2019 Г.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ЗА ИЗМЕНЕНИЕ И ДОПЪЛНЕНИЕ НА НОРМАТИВНИ АКТОВЕ НА МИНИСТЕРСКИЯ СЪВЕТ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63217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26 ОТ 2019 Г., В СИЛА ОТ 01.04.2019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141073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0" w:line="240" w:lineRule="auto"/>
        <w:ind w:firstLine="1155"/>
        <w:jc w:val="both"/>
        <w:textAlignment w:val="center"/>
        <w:divId w:val="1805465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По започналите и незавършили към влизането в сила на това постановление производства за изготвяне на оценка на здравните технологии на лекарствени продукти се заплащат такси в размерите, определени в Тарифата за таксите, които се събират по Закона за 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карствените продукти в хуманната медицина.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85393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. . . . . . . . . . . . . . . . . . . . . . . . . . . . . . . . . .</w:t>
      </w: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1141073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524027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10. Постановлението влиза в сила от 1 април 2019 г.</w:t>
      </w:r>
    </w:p>
    <w:p w:rsidR="00000000" w:rsidRDefault="00D93BAE">
      <w:pPr>
        <w:spacing w:before="100" w:beforeAutospacing="1" w:after="100" w:afterAutospacing="1" w:line="240" w:lineRule="auto"/>
        <w:jc w:val="center"/>
        <w:textAlignment w:val="center"/>
        <w:divId w:val="91744585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Преходни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362 ОТ 9 НОЕМВРИ 2022 Г. ЗА ИЗМЕНЕНИЕ И ДОПЪЛНЕ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НИЕ НА ТАРИФАТА ЗА ТАКСИТЕ, КОИТО СЕ СЪБИРАТ ПО ЗАКОНА ЗА ЛЕКАРСТВЕНИТЕ ПРОДУКТИ В ХУМАННАТА МЕДИЦИНА, ПРИЕТА С ПОСТАНОВЛЕНИЕ № 296 НА МИНИСТЕРСКИЯ СЪВЕТ ОТ 2007 Г.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205406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90 ОТ 2022 Г.)</w:t>
      </w:r>
    </w:p>
    <w:p w:rsidR="00000000" w:rsidRDefault="00D93BAE">
      <w:pPr>
        <w:spacing w:after="0" w:line="240" w:lineRule="auto"/>
        <w:ind w:firstLine="1155"/>
        <w:jc w:val="both"/>
        <w:textAlignment w:val="center"/>
        <w:divId w:val="13506466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D93BAE">
      <w:pPr>
        <w:spacing w:after="150" w:line="240" w:lineRule="auto"/>
        <w:ind w:firstLine="1155"/>
        <w:jc w:val="both"/>
        <w:textAlignment w:val="center"/>
        <w:divId w:val="1411731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За оценка на документация за разрешаване на клинично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изпитване, подадена до 31 януари 2023 г. извън Портала на Европейския съюз по чл. 80 от Регламент (ЕС) № 536/2014, се заплащат съответните такси, определени в чл. 13, ал. 1 и 2 и чл. 29, ал. 1.</w:t>
      </w:r>
    </w:p>
    <w:p w:rsidR="00D93BAE" w:rsidRDefault="00D93BAE">
      <w:pPr>
        <w:ind w:firstLine="1155"/>
        <w:jc w:val="both"/>
        <w:textAlignment w:val="center"/>
        <w:divId w:val="1486583764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6. За оценка на документация за съществена промяна, подаден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 31 януари 2025 г. извън Портала на Европейския съюз по чл. 80 от Регламент (ЕС) № 536/2014 по клинично изпитване, разрешено по досегашния ред, се заплащат съответните такси, определени в чл. 13, ал. 3 и чл. 29, ал. 2.</w:t>
      </w:r>
    </w:p>
    <w:sectPr w:rsidR="00D93BAE" w:rsidSect="00C36740">
      <w:footerReference w:type="default" r:id="rId6"/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BAE" w:rsidRDefault="00D93BAE">
      <w:pPr>
        <w:spacing w:after="0" w:line="240" w:lineRule="auto"/>
      </w:pPr>
      <w:r>
        <w:separator/>
      </w:r>
    </w:p>
  </w:endnote>
  <w:endnote w:type="continuationSeparator" w:id="0">
    <w:p w:rsidR="00D93BAE" w:rsidRDefault="00D93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3A0" w:rsidRDefault="00D93BAE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BAE" w:rsidRDefault="00D93BAE">
      <w:pPr>
        <w:spacing w:after="0" w:line="240" w:lineRule="auto"/>
      </w:pPr>
      <w:r>
        <w:separator/>
      </w:r>
    </w:p>
  </w:footnote>
  <w:footnote w:type="continuationSeparator" w:id="0">
    <w:p w:rsidR="00D93BAE" w:rsidRDefault="00D93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A0"/>
    <w:rsid w:val="00BE03A0"/>
    <w:rsid w:val="00C36740"/>
    <w:rsid w:val="00D9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0763C-F3D5-4819-ACB1-75DE82D4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8">
    <w:name w:val="title18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a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3">
    <w:name w:val="title23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816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0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3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8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1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673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8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20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241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29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5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1619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6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95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70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2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11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05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158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695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079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2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82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8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39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6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7053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101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89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3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0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793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84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941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23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2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9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3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4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113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0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42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84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07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0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1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91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7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7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217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5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85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98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07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9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96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6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3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670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58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6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31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6213</Words>
  <Characters>35417</Characters>
  <Application>Microsoft Office Word</Application>
  <DocSecurity>0</DocSecurity>
  <Lines>295</Lines>
  <Paragraphs>83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S-MARINOVA</dc:creator>
  <cp:lastModifiedBy>S-MARINOVA</cp:lastModifiedBy>
  <cp:revision>2</cp:revision>
  <dcterms:created xsi:type="dcterms:W3CDTF">2023-08-08T11:32:00Z</dcterms:created>
  <dcterms:modified xsi:type="dcterms:W3CDTF">2023-08-08T11:32:00Z</dcterms:modified>
</cp:coreProperties>
</file>