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Регламент (ЕО) № 111/2005 на Съвета от 22 декември 2004 г. за определяне на правила за мониторинг на търговията с </w:t>
      </w:r>
      <w:proofErr w:type="spellStart"/>
      <w:r w:rsidRPr="00700D17">
        <w:rPr>
          <w:rFonts w:ascii="Times New Roman" w:hAnsi="Times New Roman" w:cs="Times New Roman"/>
        </w:rPr>
        <w:t>прекурсори</w:t>
      </w:r>
      <w:proofErr w:type="spellEnd"/>
      <w:r w:rsidRPr="00700D17">
        <w:rPr>
          <w:rFonts w:ascii="Times New Roman" w:hAnsi="Times New Roman" w:cs="Times New Roman"/>
        </w:rPr>
        <w:t xml:space="preserve"> на наркотични вещества между Съюза и трети държави</w:t>
      </w:r>
    </w:p>
    <w:p w:rsidR="00700D17" w:rsidRPr="00700D17" w:rsidRDefault="00E54779" w:rsidP="00700D17">
      <w:pPr>
        <w:jc w:val="both"/>
        <w:rPr>
          <w:rFonts w:ascii="Times New Roman" w:hAnsi="Times New Roman" w:cs="Times New Roman"/>
        </w:rPr>
      </w:pPr>
      <w:r>
        <w:rPr>
          <w:rFonts w:ascii="Times New Roman" w:hAnsi="Times New Roman" w:cs="Times New Roman"/>
        </w:rPr>
        <w:t>Изменен с:</w:t>
      </w:r>
    </w:p>
    <w:p w:rsidR="00E76BD2" w:rsidRDefault="00700D17" w:rsidP="00700D17">
      <w:pPr>
        <w:jc w:val="both"/>
        <w:rPr>
          <w:rFonts w:ascii="Times New Roman" w:hAnsi="Times New Roman" w:cs="Times New Roman"/>
        </w:rPr>
      </w:pPr>
      <w:r w:rsidRPr="00700D17">
        <w:rPr>
          <w:rFonts w:ascii="Times New Roman" w:hAnsi="Times New Roman" w:cs="Times New Roman"/>
        </w:rPr>
        <w:t xml:space="preserve">РЕГЛАМЕНТ (ЕС) № 1259/2013 НА ЕВРОПЕЙСКИЯ ПАРЛАМЕНТ И </w:t>
      </w:r>
      <w:r w:rsidR="00E76BD2">
        <w:rPr>
          <w:rFonts w:ascii="Times New Roman" w:hAnsi="Times New Roman" w:cs="Times New Roman"/>
        </w:rPr>
        <w:t>НА СЪВЕТА от 20 ноември 2013 г.</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ДЕЛЕГИРАН РЕГЛАМЕНТ (ЕС) 2016/1443 НА КОМИСИЯТА от 29 юни 2016 г.</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ДЕЛЕГИРАН РЕГЛАМЕНТ (ЕС) 2018/729 НА КОМИСИЯТА от 26 февруари 2018 г.</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ДЕЛЕГИРАН РЕГЛАМЕНТ (ЕС) 2020/1737 НА КОМИСИЯТА от 14 юли 2020 г.</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ДЕЛЕГИРАН РЕГЛАМЕНТ (ЕС) 2022/1518 НА КОМИСИЯТА от 29 март 2022 г.</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ДЕЛЕГИРАН РЕГЛАМЕНТ (ЕС) 2023/196 НА КОМИСИЯТА от 25 ноември 2022 г.</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ДЕЛЕГИРАН РЕГЛАМЕНТ (ЕС) 2024/1331 НА КОМИСИЯТА от 28 февруари 2024 г.</w:t>
      </w:r>
    </w:p>
    <w:p w:rsidR="00700D17" w:rsidRPr="009B4CEB" w:rsidRDefault="00700D17" w:rsidP="00700D17">
      <w:pPr>
        <w:jc w:val="both"/>
        <w:rPr>
          <w:rFonts w:ascii="Times New Roman" w:hAnsi="Times New Roman" w:cs="Times New Roman"/>
          <w:b/>
        </w:rPr>
      </w:pPr>
      <w:r w:rsidRPr="009B4CEB">
        <w:rPr>
          <w:rFonts w:ascii="Times New Roman" w:hAnsi="Times New Roman" w:cs="Times New Roman"/>
          <w:b/>
        </w:rPr>
        <w:t>ДЕЛЕГИРАН РЕГЛАМЕНТ (ЕС) 2025/1475 НА КОМИСИЯТА от 21 май 2025 г.</w:t>
      </w: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ГЛАВА I</w:t>
      </w:r>
    </w:p>
    <w:p w:rsidR="00700D17" w:rsidRPr="00700D17" w:rsidRDefault="00700D17" w:rsidP="009B4CEB">
      <w:pPr>
        <w:spacing w:after="0"/>
        <w:jc w:val="both"/>
        <w:rPr>
          <w:rFonts w:ascii="Times New Roman" w:hAnsi="Times New Roman" w:cs="Times New Roman"/>
        </w:rPr>
      </w:pP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ПРЕДМЕТ И ОПРЕДЕЛЕНИЯ</w:t>
      </w:r>
    </w:p>
    <w:p w:rsidR="00700D17" w:rsidRPr="00700D17" w:rsidRDefault="00700D17" w:rsidP="009B4CEB">
      <w:pPr>
        <w:spacing w:after="0"/>
        <w:jc w:val="both"/>
        <w:rPr>
          <w:rFonts w:ascii="Times New Roman" w:hAnsi="Times New Roman" w:cs="Times New Roman"/>
        </w:rPr>
      </w:pP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Член 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Настоящият регламент определя правила за наблюдение на търговията между ►M1   Съюза  ◄ и трети държави по отношение на определени вещества, често използвани за незаконно производство на наркотични и психотропни вещества (наричани по-долу „</w:t>
      </w:r>
      <w:proofErr w:type="spellStart"/>
      <w:r w:rsidRPr="00700D17">
        <w:rPr>
          <w:rFonts w:ascii="Times New Roman" w:hAnsi="Times New Roman" w:cs="Times New Roman"/>
        </w:rPr>
        <w:t>прекурсори</w:t>
      </w:r>
      <w:proofErr w:type="spellEnd"/>
      <w:r w:rsidRPr="00700D17">
        <w:rPr>
          <w:rFonts w:ascii="Times New Roman" w:hAnsi="Times New Roman" w:cs="Times New Roman"/>
        </w:rPr>
        <w:t xml:space="preserve"> на наркотици“), с цел предотвратяване на отклоняването на такива вещества. Прилага се за внос, износ и посреднически дейности.</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Настоящият регламент не засяга специалните правила в други области, отнасящи се до търговията със стоки между ►M1   Съюз  ◄ и трети държави.</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2</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За целите на настоящия регламент се прилагат следните определения:</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(а)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„включено в списъка вещество“ означава всяко вещество, изброено в приложението, което може да се използва за незаконно производство на наркотични или психотропни вещества, включително смеси и природни продукти, съдържащи такива вещества, но с изключение на смеси и природни продукти, които съдържат включени в списъка вещества и които са съставени по такъв начин, че включените в списъка вещества не могат лесно да бъдат използвани или извлечени чрез лесно приложими или икономически жизнеспособни средства, лекарствени продукти, както са определени в точка 2 от член 1 от Директива 2001/83/ЕО на Европейския парламент и на Съвета ( 1 ), и ветеринарномедицински продукти, както са определени в точка 2 от член 1 от Директива 2001/82/ЕО на Европейския парламент и на Съвета ( 2 ), с изключение на лекарствени продукти и ветеринарномедицински продукти, изброени в приложението;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lastRenderedPageBreak/>
        <w:t>▼Б</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(б)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w:t>
      </w:r>
      <w:proofErr w:type="spellStart"/>
      <w:r w:rsidRPr="00700D17">
        <w:rPr>
          <w:rFonts w:ascii="Times New Roman" w:hAnsi="Times New Roman" w:cs="Times New Roman"/>
        </w:rPr>
        <w:t>невключено</w:t>
      </w:r>
      <w:proofErr w:type="spellEnd"/>
      <w:r w:rsidRPr="00700D17">
        <w:rPr>
          <w:rFonts w:ascii="Times New Roman" w:hAnsi="Times New Roman" w:cs="Times New Roman"/>
        </w:rPr>
        <w:t xml:space="preserve"> в списъка вещество“ означава всяко вещество, което, макар и да не е посочено в приложението, е идентифицирано като използвано за незаконно производство на наркотични или психотропни вещества;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(в)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„внос“ означава всяко въвеждане на вписани вещества, имащи статут на несъюзни стоки, в митническата територия на Съюза, включително временно складиране, поставяне в свободна зона или свободен склад, поставяне под режим с отложено плащане и допускане за свободно обращение по смисъла на Регламент (ЕИО) № 2913/92 на Съвета ( 3 );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(г)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„износ“ означава всяко напускане на вписани вещества от митническата територия на ►M1   Съюз  ◄ , включително напускането на вписани вещества, което изисква митническа декларация, и напускането на вписани вещества след съхранението им в свободна зона от тип контрол I или свободен склад по смисъла на Регламент (ЕИО) № 2913/92;</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(д)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„посреднически дейности“ означава всяка дейност по уреждане на покупка и продажба или доставка на вписани вещества, извършвана от физическо или юридическо лице, което има за цел да постигне споразумение между две страни или да го направи, като действа от името на поне една от тези страни, без да приема тези вещества във владение или да поема контрол върху извършването на такава сделка; това определение включва и всяка дейност, извършвана от физическо или юридическо лице, установено в ►M1   Съюза  ◄ , включващ покупка и продажба или доставка на вписани вещества, без тези вещества да бъдат въведени в ►M1   митническа територия на Съюза  ◄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(е)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„оператор“ означава всяко физическо или юридическо лице, занимаващо се с внос, износ на вписани вещества или посреднически дейности, свързани с това, включително лица, извършващи дейността по изготвяне на митнически декларации за клиенти на самостоятелна основа, било то като основна дейност или като вторична дейност, свързана с друга професия;</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(ж)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„износител“ означава физическото или юридическото лице, което е основно отговорно за износните дейности по силата на икономическата и правната връзка с вписаните вещества и с получателя и, когато е уместно, което подава митническата декларация или от чието име се подава митническата декларация;</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(з)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„вносител“ означава физическото или юридическото лице, което е основно отговорно за дейностите по внос по силата на икономическата и правната връзка с вписаните вещества и с изпращача и което подава митническата декларация или от чието име се подава митническата декларация;</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lastRenderedPageBreak/>
        <w:t xml:space="preserve">(и)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„краен получател“ означава всяко физическо или юридическо лице, на което се доставят вписаните вещества; това лице може да е различно от крайния потребител;</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(й)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„природен продукт“ означава организъм или част от него, под каквато и да е форма, или всякакви вещества, които се срещат в природата, както е определено в точка 39 от член 3 от Регламент (ЕО) № 1907/2006 на Европейския парламент и на Съвета ( 4 );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(к)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„Международен съвет за контрол на наркотиците“ означава Съветът, създаден с Единната конвенция за упойващите вещества от 1961 г., изменена с Протокола от 1972 г.</w:t>
      </w:r>
    </w:p>
    <w:p w:rsidR="00700D17" w:rsidRPr="00700D17" w:rsidRDefault="00700D17" w:rsidP="00700D17">
      <w:pPr>
        <w:jc w:val="both"/>
        <w:rPr>
          <w:rFonts w:ascii="Times New Roman" w:hAnsi="Times New Roman" w:cs="Times New Roman"/>
        </w:rPr>
      </w:pP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ГЛАВА II</w:t>
      </w:r>
    </w:p>
    <w:p w:rsidR="00700D17" w:rsidRPr="00700D17" w:rsidRDefault="00700D17" w:rsidP="009B4CEB">
      <w:pPr>
        <w:spacing w:after="0"/>
        <w:jc w:val="both"/>
        <w:rPr>
          <w:rFonts w:ascii="Times New Roman" w:hAnsi="Times New Roman" w:cs="Times New Roman"/>
        </w:rPr>
      </w:pP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МОНИТОРИНГ НА ТЪРГОВИЯТА</w:t>
      </w:r>
    </w:p>
    <w:p w:rsidR="00700D17" w:rsidRPr="00700D17" w:rsidRDefault="00700D17" w:rsidP="009B4CEB">
      <w:pPr>
        <w:spacing w:after="0"/>
        <w:jc w:val="both"/>
        <w:rPr>
          <w:rFonts w:ascii="Times New Roman" w:hAnsi="Times New Roman" w:cs="Times New Roman"/>
        </w:rPr>
      </w:pP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РАЗДЕЛ 1</w:t>
      </w:r>
    </w:p>
    <w:p w:rsidR="00700D17" w:rsidRPr="00700D17" w:rsidRDefault="00700D17" w:rsidP="009B4CEB">
      <w:pPr>
        <w:spacing w:after="0"/>
        <w:jc w:val="both"/>
        <w:rPr>
          <w:rFonts w:ascii="Times New Roman" w:hAnsi="Times New Roman" w:cs="Times New Roman"/>
        </w:rPr>
      </w:pP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Документация и етикетиране</w:t>
      </w:r>
    </w:p>
    <w:p w:rsidR="00700D17" w:rsidRPr="00700D17" w:rsidRDefault="00700D17" w:rsidP="009B4CEB">
      <w:pPr>
        <w:spacing w:after="0"/>
        <w:jc w:val="both"/>
        <w:rPr>
          <w:rFonts w:ascii="Times New Roman" w:hAnsi="Times New Roman" w:cs="Times New Roman"/>
        </w:rPr>
      </w:pP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Член 3</w:t>
      </w:r>
    </w:p>
    <w:p w:rsidR="00700D17" w:rsidRPr="00700D17" w:rsidRDefault="00700D17" w:rsidP="009B4CEB">
      <w:pPr>
        <w:spacing w:after="0"/>
        <w:jc w:val="both"/>
        <w:rPr>
          <w:rFonts w:ascii="Times New Roman" w:hAnsi="Times New Roman" w:cs="Times New Roman"/>
        </w:rPr>
      </w:pP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▼M1</w:t>
      </w:r>
    </w:p>
    <w:p w:rsidR="00700D17" w:rsidRPr="00700D17" w:rsidRDefault="00700D17" w:rsidP="009B4CEB">
      <w:pPr>
        <w:spacing w:after="0"/>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Целият внос, износ или посреднически дейности, включващи вписани вещества, с изключение на веществата, изброени в категория 4 от приложението, се документират от оператора чрез митнически и търговски документи, като например обобщени декларации, митнически декларации, фактури, товарни манифести, транспортни и други документи за доставка.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Тези документи съдържат следната информация:</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(а)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наименованието на вписаното вещество, както е посочено в приложението, или, в случай на смес или природен продукт, неговото наименование и наименованието на всяко вписано вещество, както е посочено в приложението, съдържащо се в сместа или в природния продукт, последвано от термина „ПРЕКУРСОРИ НА ЛЕКАРСТВОТО“;</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(б)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количеството и теглото на вписаното вещество и, в случай на смес или природен продукт, количеството, теглото и, ако е налично, процентното съдържание на всяко вписано вещество, съдържащо се в него; 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lastRenderedPageBreak/>
        <w:t xml:space="preserve">(в)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имената и адресите на износителя, вносителя, крайния получател и, когато е приложимо, лицето, участващо в посредническите дейности.</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4</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Документацията, посочена в член 3, се съхранява от операторите за период от три години, считано от края на календарната година, през която е извършена операцията. Документацията се организира по такъв начин, в електронен или хартиен вид, че да е лесно достъпна за проверка от компетентните органи при поискване. Документацията може да бъде предоставена чрез носител на изображения или друг носител на данни, при условие че данните, когато са направени четливи, съответстват на документацията по външен вид и съдържание, достъпни са по всяко време, могат да бъдат направени четливи без забавяне и могат да бъдат анализирани с автоматизирани средства.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5</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Операторите гарантират, че етикетите са поставени върху всяка опаковка, съдържаща вписани вещества, с изключение на веществата, изброени в категория 4 от приложението, като се посочва тяхното наименование, както е посочено в приложението, или, в случай на смес или природен продукт, неговото наименование и наименованието на всяко вписано вещество, с изключение на веществата, изброени в категория 4 от приложението, както е посочено в приложението, съдържащо се в сместа или в природния продукт. Операторите могат освен това да поставят своите обичайни етикети.</w:t>
      </w: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▼Б</w:t>
      </w: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РАЗДЕЛ 2</w:t>
      </w: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Лицензиране и регистрация на оператори</w:t>
      </w:r>
    </w:p>
    <w:p w:rsidR="00700D17" w:rsidRPr="00700D17" w:rsidRDefault="00700D17" w:rsidP="009B4CEB">
      <w:pPr>
        <w:spacing w:after="0"/>
        <w:jc w:val="both"/>
        <w:rPr>
          <w:rFonts w:ascii="Times New Roman" w:hAnsi="Times New Roman" w:cs="Times New Roman"/>
        </w:rPr>
      </w:pP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Член 6</w:t>
      </w:r>
    </w:p>
    <w:p w:rsidR="00700D17" w:rsidRPr="00700D17" w:rsidRDefault="00700D17" w:rsidP="009B4CEB">
      <w:pPr>
        <w:spacing w:after="0"/>
        <w:jc w:val="both"/>
        <w:rPr>
          <w:rFonts w:ascii="Times New Roman" w:hAnsi="Times New Roman" w:cs="Times New Roman"/>
        </w:rPr>
      </w:pP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▼M1</w:t>
      </w:r>
    </w:p>
    <w:p w:rsidR="00700D17" w:rsidRPr="00700D17" w:rsidRDefault="00700D17" w:rsidP="009B4CEB">
      <w:pPr>
        <w:spacing w:after="0"/>
        <w:jc w:val="both"/>
        <w:rPr>
          <w:rFonts w:ascii="Times New Roman" w:hAnsi="Times New Roman" w:cs="Times New Roman"/>
        </w:rPr>
      </w:pPr>
    </w:p>
    <w:p w:rsidR="00700D17" w:rsidRPr="00700D17" w:rsidRDefault="00700D17" w:rsidP="009B4CEB">
      <w:pPr>
        <w:spacing w:after="0"/>
        <w:jc w:val="both"/>
        <w:rPr>
          <w:rFonts w:ascii="Times New Roman" w:hAnsi="Times New Roman" w:cs="Times New Roman"/>
        </w:rPr>
      </w:pPr>
      <w:r w:rsidRPr="00700D17">
        <w:rPr>
          <w:rFonts w:ascii="Times New Roman" w:hAnsi="Times New Roman" w:cs="Times New Roman"/>
        </w:rPr>
        <w:t>1.   Освен ако не е предвидено друго, операторите, установени в Съюза, различни от митнически агенти и превозвачи, когато действат единствено в това си качество, занимаващи се с внос, износ или посреднически дейности, включващи вписани вещества, изброени в категория 1 от приложението, трябва да притежават лиценз. Компетентният орган на държавата членка, в която е установен операторът, издава лиценза.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При разглеждането на въпроса дали да издаде лиценз, компетентният орган взема предвид компетентността и почтеността на заявителя, по-специално липсата на сериозно нарушение или повтарящи се нарушения на законодателството в областта на </w:t>
      </w:r>
      <w:proofErr w:type="spellStart"/>
      <w:r w:rsidRPr="00700D17">
        <w:rPr>
          <w:rFonts w:ascii="Times New Roman" w:hAnsi="Times New Roman" w:cs="Times New Roman"/>
        </w:rPr>
        <w:t>прекурсорите</w:t>
      </w:r>
      <w:proofErr w:type="spellEnd"/>
      <w:r w:rsidRPr="00700D17">
        <w:rPr>
          <w:rFonts w:ascii="Times New Roman" w:hAnsi="Times New Roman" w:cs="Times New Roman"/>
        </w:rPr>
        <w:t xml:space="preserve"> на наркотични вещества и липсата на досие за сериозно криминално престъпление.</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Комисията е оправомощена да приема делегирани актове в съответствие с член 30б, за да определи условията за издаване на лицензи и за да определи случаите, в които не се изисква лиценз.</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lastRenderedPageBreak/>
        <w:t>▼Б</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Лицензът може да бъде спрян или отнет от компетентните органи, когато условията, при които е издаден, вече не се изпълняват или когато има основателни причини за съмнение, че съществува риск от отклоняване на вписани вещества.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3.   Комисията установява образец за лицензи чрез актове за изпълнение. Тези актове за изпълнение се приемат в съответствие с процедурата по разглеждане, посочена в член 30, параграф 2.</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7</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Освен ако не е предвидено друго, операторите, установени в Съюза, различни от митнически агенти и превозвачи, когато действат единствено в това си качество, занимаващи се с внос, износ или посреднически дейности, включващи вписани вещества, изброени в категория 2 от приложението, или с износ на вписани вещества, изброени в категория 3 от приложението, трябва да притежават регистрация. Компетентният орган в държавата членка, в която е установен операторът, издава регистрацията.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При разглеждането на въпроса дали да издаде регистрация, компетентният орган взема предвид компетентността и почтеността на заявителя, по-специално липсата на сериозно нарушение или повтарящи се нарушения на законодателството в областта на </w:t>
      </w:r>
      <w:proofErr w:type="spellStart"/>
      <w:r w:rsidRPr="00700D17">
        <w:rPr>
          <w:rFonts w:ascii="Times New Roman" w:hAnsi="Times New Roman" w:cs="Times New Roman"/>
        </w:rPr>
        <w:t>прекурсорите</w:t>
      </w:r>
      <w:proofErr w:type="spellEnd"/>
      <w:r w:rsidRPr="00700D17">
        <w:rPr>
          <w:rFonts w:ascii="Times New Roman" w:hAnsi="Times New Roman" w:cs="Times New Roman"/>
        </w:rPr>
        <w:t xml:space="preserve"> на наркотични вещества и липсата на досие за сериозно криминално престъпление.</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Комисията е оправомощена да приема делегирани актове в съответствие с член 30б, за да определи условията за предоставяне на регистрации и за да определи случаите, в които не се изисква регистрация.</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Компетентният орган може да спре или отмени регистрацията, когато условията, при които е била издадена регистрацията, вече не са изпълнени или когато има основателни причини за съмнение, че съществува риск от отклоняване на вписани вещества.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8</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Когато вписаните вещества се въвеждат в митническата територия на Съюза за разтоварване или претоварване, за временно складиране, за съхранение в свободна зона с контрол тип I или свободен склад, или за поставянето им под режим външен съюзен транзит, законните цели трябва да бъдат доказани от оператора по искане на компетентните органи.</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На Комисията се предоставя правомощието да приема делегирани актове в съответствие с член 30б, за да установи критериите за определяне как могат да бъдат доказани законните цели на сделката, за да се гарантира, че всички движения на вписани вещества в рамките на митническата територия на Съюза могат да бъдат наблюдавани от компетентните органи и рискът от отклоняване е сведен до минимум.</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РАЗДЕЛ 3</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Предоставяне на информация</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9</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Операторите, установени в Съюза, уведомяват незабавно компетентните органи за всякакви обстоятелства, като например необичайни поръчки и сделки, включващи вписани вещества, които предполагат, че такива вещества, предназначени за внос, износ или посреднически дейности, биха могли да бъдат отклонени за незаконно производство на наркотични или психотропни вещества.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За тази цел операторите предоставят всякаква налична информация, като например:</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(а)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наименованието на вписаното вещество;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(б)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количеството и теглото на вписаното вещество;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(в)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имената и адресите на износителя, вносителя, крайния получател и, когато е приложимо, лицето, участващо в посредническите дейности.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Тази информация се събира само с цел предотвратяване на отклоняването на вписани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Операторите предоставят на компетентните органи информация в обобщена форма относно своите дейности по износ, внос или посредничество.</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Комисията е оправомощена да приема делегирани актове в съответствие с член 30б, за да определи информацията, която се изисква от компетентните органи, за да им се даде възможност да наблюдават тези дейности.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Комисията определя чрез актове за изпълнение процедурните правила за предоставяне на такава информация, включително, когато е целесъобразно, в електронен вид на европейската база данни за </w:t>
      </w:r>
      <w:proofErr w:type="spellStart"/>
      <w:r w:rsidRPr="00700D17">
        <w:rPr>
          <w:rFonts w:ascii="Times New Roman" w:hAnsi="Times New Roman" w:cs="Times New Roman"/>
        </w:rPr>
        <w:t>прекурсори</w:t>
      </w:r>
      <w:proofErr w:type="spellEnd"/>
      <w:r w:rsidRPr="00700D17">
        <w:rPr>
          <w:rFonts w:ascii="Times New Roman" w:hAnsi="Times New Roman" w:cs="Times New Roman"/>
        </w:rPr>
        <w:t xml:space="preserve"> на наркотични вещества, създадена съгласно Регламент (ЕО) № 273/2004 на Европейския парламент и на Съвета ( 5 ) („европейската база данни“). Тези актове за изпълнение се приемат в съответствие с процедурата по разглеждане, посочена в член 30, параграф 2.</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10</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За да се улесни сътрудничеството между компетентните органи на държавите членки, операторите, установени в ►M1   Съюза  ◄ и химическата промишленост, по-специално по отношение на веществата, които не са включени в списъка, Комисията, след консултация с държавите членки, изготвя и актуализира насоки.</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Тези насоки предвиждат, по-специално:</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(а)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информация за това как да се идентифицират и уведомяват за съмнителни сделки;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(б)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редовно актуализиран списък на </w:t>
      </w:r>
      <w:proofErr w:type="spellStart"/>
      <w:r w:rsidRPr="00700D17">
        <w:rPr>
          <w:rFonts w:ascii="Times New Roman" w:hAnsi="Times New Roman" w:cs="Times New Roman"/>
        </w:rPr>
        <w:t>невключени</w:t>
      </w:r>
      <w:proofErr w:type="spellEnd"/>
      <w:r w:rsidRPr="00700D17">
        <w:rPr>
          <w:rFonts w:ascii="Times New Roman" w:hAnsi="Times New Roman" w:cs="Times New Roman"/>
        </w:rPr>
        <w:t xml:space="preserve"> в списъка вещества, за да се даде възможност на индустрията да наблюдава на доброволна основа търговията с такива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3.   Компетентните органи гарантират, че насоките се разпространяват редовно в съответствие с целите на тези насоки.</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4.   За да реагират бързо на нови тенденции за отклоняване, компетентните органи на държавите членки и Комисията могат да предложат добавянето на </w:t>
      </w:r>
      <w:proofErr w:type="spellStart"/>
      <w:r w:rsidRPr="00700D17">
        <w:rPr>
          <w:rFonts w:ascii="Times New Roman" w:hAnsi="Times New Roman" w:cs="Times New Roman"/>
        </w:rPr>
        <w:t>невключено</w:t>
      </w:r>
      <w:proofErr w:type="spellEnd"/>
      <w:r w:rsidRPr="00700D17">
        <w:rPr>
          <w:rFonts w:ascii="Times New Roman" w:hAnsi="Times New Roman" w:cs="Times New Roman"/>
        </w:rPr>
        <w:t xml:space="preserve"> в списъка вещество към списъка, посочен в параграф 2, буква б), с цел временно наблюдение на търговията с него. Подробни условия и критерии за включването или заличаването от този списък се определят в насоките, посочени в параграф 1.</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5.   Ако доброволният мониторинг от страна на индустрията се счете за недостатъчен, за да предотврати употребата на </w:t>
      </w:r>
      <w:proofErr w:type="spellStart"/>
      <w:r w:rsidRPr="00700D17">
        <w:rPr>
          <w:rFonts w:ascii="Times New Roman" w:hAnsi="Times New Roman" w:cs="Times New Roman"/>
        </w:rPr>
        <w:t>невключено</w:t>
      </w:r>
      <w:proofErr w:type="spellEnd"/>
      <w:r w:rsidRPr="00700D17">
        <w:rPr>
          <w:rFonts w:ascii="Times New Roman" w:hAnsi="Times New Roman" w:cs="Times New Roman"/>
        </w:rPr>
        <w:t xml:space="preserve"> в списъка вещество за незаконно производство на наркотични или психотропни вещества, Комисията може да добави </w:t>
      </w:r>
      <w:proofErr w:type="spellStart"/>
      <w:r w:rsidRPr="00700D17">
        <w:rPr>
          <w:rFonts w:ascii="Times New Roman" w:hAnsi="Times New Roman" w:cs="Times New Roman"/>
        </w:rPr>
        <w:t>невключеното</w:t>
      </w:r>
      <w:proofErr w:type="spellEnd"/>
      <w:r w:rsidRPr="00700D17">
        <w:rPr>
          <w:rFonts w:ascii="Times New Roman" w:hAnsi="Times New Roman" w:cs="Times New Roman"/>
        </w:rPr>
        <w:t xml:space="preserve"> в списъка вещество към приложението чрез делегирани актове в съответствие с член 30б.</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РАЗДЕЛ 4</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Предварително уведомление за износ</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11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Всеки износ на включени в списъка вещества, изброени в категории 1 и 4 от приложението, и износ на включени в списъка вещества, изброени в категории 2 и 3 от приложението, до определени държави по местоназначение се предшества от предварително уведомление за износ, изпратено от компетентните органи в Съюза до компетентните органи на държавата по местоназначение, в съответствие с член 12, параграф 10 от Конвенцията на Организацията на обединените нации. Комисията е оправомощена да приема делегирани актове в съответствие с член 30б от настоящия регламент, за да определи списъците на държавите по местоназначение за износ на включени в списъка вещества, изброени в категории 2 и 3 от приложението, с цел да се сведе до минимум рискът от отклоняване на включени в списъка вещества.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На държавата по местоназначение се предоставя срок от 15 работни дни за отговор, след изтичането на който експортната операция може да бъде разрешена от компетентните органи на държавата-членка на износ, ако не е получено становище от компетентните органи на държавата по местоназначение, показващо, че тази експортна операция може да е предназначена за незаконно производство на наркотични или психотропни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В случай на вписани вещества, за които се изисква нотификация в съответствие с параграф 1, компетентните органи на съответната държава-членка, преди износа на тези вещества, предоставят информацията, посочена в член 13, параграф 1, на компетентните органи на страната по местоназначение.</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Органът, предоставящ такава информация, изисква от органа в третата държава, получаващ информацията, да пази в тайна всяка търговска, стопанска, професионална или бизнес тайна или всеки търговски процес, посочен в нея.</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3.   Компетентните органи могат да прилагат опростени процедури за предварително уведомяване преди износ, когато са убедени, че това няма да доведе до риск от отклоняване на вписани вещества. Комисията е оправомощена да приема делегирани актове в съответствие с член 30б, за да определи такива процедури и да установи общите критерии, които да се прилагат от компетентните органи.</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РАЗДЕЛ 5</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Разрешение за износ</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12</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Износ на вписани вещества, за който се изисква митническа декларация, включително износ на вписани вещества, напускащи ►M1   митническата територия на Съюза  ◄ след съхранението им в свободна зона с контрол тип I или свободен склад за период от най-малко 10 дни, подлежат на разрешение за износ.</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Когато вписани вещества се реекспортират в рамките на 10 дни от датата на поставянето им в режим на отложено плащане или в свободна зона от контрол тип II, не се изисква разрешение за износ.</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Въпреки това, износът на вписани вещества, изброени в категория 3 от приложението, подлежи на разрешение за износ само когато се изискват предварителни уведомления за износ.</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Разрешенията за износ се издават от компетентните органи на държавата членка, в която е установен износителят.</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13</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Заявлението за разрешения за износ, посочено в член 12, съдържа най-малко следното:</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(а)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имената и адресите на износителя, вносителя в третата държава, всеки друг оператор, участващ в операцията по износ или превоз, и крайния получател;</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(б)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наименованието на вписаното вещество, както е посочено в приложението, или, в случай на смес или природен продукт, неговото наименование и </w:t>
      </w:r>
      <w:proofErr w:type="spellStart"/>
      <w:r w:rsidRPr="00700D17">
        <w:rPr>
          <w:rFonts w:ascii="Times New Roman" w:hAnsi="Times New Roman" w:cs="Times New Roman"/>
        </w:rPr>
        <w:t>осемцифрен</w:t>
      </w:r>
      <w:proofErr w:type="spellEnd"/>
      <w:r w:rsidRPr="00700D17">
        <w:rPr>
          <w:rFonts w:ascii="Times New Roman" w:hAnsi="Times New Roman" w:cs="Times New Roman"/>
        </w:rPr>
        <w:t xml:space="preserve"> код по КН и наименованието на всяко вписано вещество, както е посочено в приложението, съдържащо се в сместа или в природния продукт;</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(в)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количеството и теглото на вписаното вещество и, в случай на смес или природен продукт, количеството, теглото и, ако е известно, процентното съдържание на всяко вписано вещество, съдържащо се в него;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(г)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подробности за транспортните договорености, като например очаквана дата на изпращане, начин на транспорт, име на митническото учреждение, където ще бъде подадена митническата декларация, и когато е възможно на този етап, идентификация на транспортното средство, маршрут, очаквана точка на излизане от ►M1   митническата територия на Съюза  ◄ и точката на влизане в страната вносител;</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(д)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в случаите, посочени в член 17, копие от разрешението за внос, издадено от страната на местоназначение; 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(е)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номерът на лиценза или регистрацията, посочени в членове 6 и 7.</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Заявлението за разрешение за износ на вписани вещества, изброени в категория 4 от приложението, трябва да съдържа информацията, посочена в букви а) до д) от първа алинея.</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Решение по заявлението за разрешение за износ се взема в срок от 15 работни дни от датата, на която компетентният орган счете досието за пълно.</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Този срок се удължава, ако в случаите, посочени в член 17, компетентните органи са задължени да извършат допълнителни разследвания съгласно втората алинея от същия член.</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14</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1.   Ако в заявлението не са предоставени подробности за маршрута и транспортното средство, разрешението за износ посочва, че операторът трябва да предостави тези данни на митническото учреждение на изход или на други компетентни органи в точката на изход от ►M1   митническата територия на Съюза  ◄ преди физическото отпътуване на пратката. В такива случаи разрешението за износ се </w:t>
      </w:r>
      <w:proofErr w:type="spellStart"/>
      <w:r w:rsidRPr="00700D17">
        <w:rPr>
          <w:rFonts w:ascii="Times New Roman" w:hAnsi="Times New Roman" w:cs="Times New Roman"/>
        </w:rPr>
        <w:t>анотира</w:t>
      </w:r>
      <w:proofErr w:type="spellEnd"/>
      <w:r w:rsidRPr="00700D17">
        <w:rPr>
          <w:rFonts w:ascii="Times New Roman" w:hAnsi="Times New Roman" w:cs="Times New Roman"/>
        </w:rPr>
        <w:t xml:space="preserve"> съответно в момента на издаването му.</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Когато разрешението за износ се представя пред митническо учреждение в държава членка, различна от тази на издаващия орган, износителят предоставя при поискване заверен превод на части или на цялата информация, съдържаща се в разрешението.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Разрешението за износ се представя на митническото учреждение при подаване на митническата декларация или при липса на митническа декларация, в митническото учреждение на изход или пред други компетентни органи в точката на изход от ►M1   митническа територия на Съюза  ◄ . Разрешението придружава пратката до третата държава по местоназначение.</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Митническото учреждение на напускане или други компетентни органи в точката на напускане на ►M1   митническата територия на Съюза  ◄ вписва необходимите данни, посочени в член 13, параграф 1, буква г), в разрешението и полага своя печат върху него.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15</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Без да се засягат мерките, приети в съответствие с член 26, параграф 3, издаването на разрешение за износ се отказва, ако: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(а)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данните, предоставени в съответствие с член 13, параграф 1, са непълни;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(б)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има основателни причини да се подозира, че предоставените данни в съответствие с член 13, параграф 1 са неверни или неточни;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(в)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в случаите, посочени в член 17, се установи, че вносът на вписаните вещества не е бил разрешен от компетентните органи на страната по местоназначение, или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(г)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има основателни причини да се подозира, че въпросните вещества са предназначени за незаконно производство на наркотични или психотропни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16</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Компетентните органи могат да спрат или отменят разрешение за износ, когато има основателни причини да се подозира, че веществата са предназначени за незаконно производство на наркотични или психотропни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17</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Винаги, когато, съгласно споразумение между ►M1   Съюз  ◄ и трета държава, износът не се разрешава, освен ако компетентните органи на тази трета държава не са издали разрешение за внос на въпросните вещества, Комисията съобщава на компетентните органи на държавите членки името и адреса на компетентния орган на третата държава, заедно с всякаква оперативна информация, получена от него.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Компетентните органи в държавите членки се уверяват в автентичността на такова разрешение за внос, като при необходимост поискат потвърждение от компетентния орган на третата държава.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18</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Срокът на валидност на разрешението за износ, в рамките на който стоките трябва да са напуснали ►M1   митническата територия на Съюза  ◄ не може да надвишава шест месеца от датата на издаване на разрешението за износ. При изключителни обстоятелства срокът на валидност може да бъде удължен по искане.</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19</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Компетентните органи могат да прилагат опростени процедури за издаване на разрешение за износ, когато са убедени, че това няма да доведе до риск от отклоняване на вписани вещества. Комисията е оправомощена да приема делегирани актове в съответствие с член 30б, за да определи такива процедури и да установи общите критерии, които да се прилагат от компетентните органи.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РАЗДЕЛ 6</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Разрешение за внос</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20</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lastRenderedPageBreak/>
        <w:t>Вносът на вещества, посочени в категория 1 от приложението, подлежи на разрешение за внос. Разрешение за внос може да бъде издадено само на оператор, установен в ►M1   Съюз  ◄ . Разрешението за внос се издава от компетентните органи на държавата членка, в която е установен вносителят.</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Въпреки това, когато веществата, посочени в първия параграф, се разтоварват или претоварват, се съхраняват временно, в свободна зона с контрол тип I или в свободен склад, или се поставят под режим външен съюзен транзит, такова разрешение за внос не се изисква.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21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Заявлението за разрешения за внос, посочено в член 20, съдържа най-малко следното:</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(а)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имената и адресите на вносителя, износителя от третата държава, всеки друг участващ оператор и крайния получател;</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(б)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наименованието на вписаното вещество, както е посочено в приложението, или, в случай на смес или природен продукт, неговото наименование и </w:t>
      </w:r>
      <w:proofErr w:type="spellStart"/>
      <w:r w:rsidRPr="00700D17">
        <w:rPr>
          <w:rFonts w:ascii="Times New Roman" w:hAnsi="Times New Roman" w:cs="Times New Roman"/>
        </w:rPr>
        <w:t>осемцифреният</w:t>
      </w:r>
      <w:proofErr w:type="spellEnd"/>
      <w:r w:rsidRPr="00700D17">
        <w:rPr>
          <w:rFonts w:ascii="Times New Roman" w:hAnsi="Times New Roman" w:cs="Times New Roman"/>
        </w:rPr>
        <w:t xml:space="preserve"> код по КН, както и наименованието на всяко вписано вещество, както е посочено в приложението, съдържащо се в сместа или в природния продукт;</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(в)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количеството и теглото на вписаното вещество и, в случай на смес или природен продукт, количеството, теглото и, ако е известно, процентното съдържание на всяко вписано вещество, съдържащо се в него;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(г)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ако има такива, подробности за транспортните договорености, като например методи и средства за транспорт, както и дата и място на предвидените дейности по внос, 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(д)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номерът на лиценза или регистрацията, посочени в членове 6 и 7.</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Решение по заявлението за разрешение за внос се взема в срок от 15 работни дни от датата, на която компетентният орган счете досието за пълно.</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22</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Разрешението за внос трябва да придружава пратката от точката на влизане в ►M1   митническата територия на Съюза  ◄ до помещенията на вносителя или крайния получател.</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Разрешението за внос се представя на митническото учреждение, когато вписаните вещества се декларират за митнически режим.</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Когато разрешението за внос се представя пред митническо учреждение в държава членка, различна от тази на издаващия орган, вносителят предоставя при поискване всеки заверен превод на части или цялата информация, съдържаща се в разрешението.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23</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Без да се засягат мерките, приети в съответствие с член 26, параграф 3, издаването на разрешение за внос се отказва, ако: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(а)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данните, предоставени в съответствие с член 21, параграф 1, са непълни;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(б)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има основателни причини да се подозира, че предоставените в заявлението данни в съответствие с член 21, параграф 1 са неверни или неточни, или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(в)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има основателни причини да се подозира, че вписаните вещества са предназначени за незаконно производство на наркотични или психотропни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24</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Компетентните органи могат да спрат или отменят разрешението за внос, когато има основателни причини да се подозира, че веществата са предназначени за незаконно производство на наркотични или психотропни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25</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Срокът на валидност на разрешението за внос, в рамките на който вписаните вещества трябва да са били въведени в митническата територия на ►M1   Съюз  ◄ не може да надвишава шест месеца от датата на издаване на разрешението за внос. При изключителни обстоятелства срокът на валидност може да бъде удължен по искане.</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ГЛАВА III</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ПРАВОМОЩИЯ НА КОМПЕТЕНТНИТЕ ОРГАНИ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26</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Без да се засягат членове 11—25 и параграфи 2 и 3 от настоящия член, компетентните органи на всяка държава членка забраняват въвеждането на вписани вещества в митническата територия на Съюза или тяхното напускане от нея, когато има основателни причини да се подозира, че тези вещества са предназначени за незаконно производство на наркотични или психотропни вещества.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Компетентните органи задържат или преустановяват освобождаването на вписаните вещества за времето, необходимо за проверка на идентификацията на вписаните вещества или на спазването на правилата на настоящия регламент.</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3.   Всяка държава членка приема необходимите мерки, за да даде възможност на компетентните органи, по-специално:</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(а)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да получава информация за всякакви поръчки или операции, включващи вписани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(б)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да влизат в търговските помещения на операторите, за да получат доказателства за нередности;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(в)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да се установи, че е извършено отклоняване или опит за отклоняване на вписани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3а.   Компетентните органи на всяка държава членка забраняват въвеждането на пратки с </w:t>
      </w:r>
      <w:proofErr w:type="spellStart"/>
      <w:r w:rsidRPr="00700D17">
        <w:rPr>
          <w:rFonts w:ascii="Times New Roman" w:hAnsi="Times New Roman" w:cs="Times New Roman"/>
        </w:rPr>
        <w:t>невключени</w:t>
      </w:r>
      <w:proofErr w:type="spellEnd"/>
      <w:r w:rsidRPr="00700D17">
        <w:rPr>
          <w:rFonts w:ascii="Times New Roman" w:hAnsi="Times New Roman" w:cs="Times New Roman"/>
        </w:rPr>
        <w:t xml:space="preserve"> в списък вещества в митническата територия на Съюза или напускането им, когато има достатъчно доказателства, че тези вещества са предназначени за незаконно производство на наркотични или психотропни вещества.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Компетентният орган незабавно информира компетентните органи на другите държави членки и Комисията за това, като използва процедурата, посочена в член 27.</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Тези вещества се считат за предложени за включване в списъка на </w:t>
      </w:r>
      <w:proofErr w:type="spellStart"/>
      <w:r w:rsidRPr="00700D17">
        <w:rPr>
          <w:rFonts w:ascii="Times New Roman" w:hAnsi="Times New Roman" w:cs="Times New Roman"/>
        </w:rPr>
        <w:t>невключените</w:t>
      </w:r>
      <w:proofErr w:type="spellEnd"/>
      <w:r w:rsidRPr="00700D17">
        <w:rPr>
          <w:rFonts w:ascii="Times New Roman" w:hAnsi="Times New Roman" w:cs="Times New Roman"/>
        </w:rPr>
        <w:t xml:space="preserve"> в списъка вещества, посочен в буква б) на член 10, параграф 2.</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3б.   Всяка държава членка може да приеме необходимите мерки, за да даде възможност на компетентните си органи да контролират и наблюдават подозрителни сделки, включващи </w:t>
      </w:r>
      <w:proofErr w:type="spellStart"/>
      <w:r w:rsidRPr="00700D17">
        <w:rPr>
          <w:rFonts w:ascii="Times New Roman" w:hAnsi="Times New Roman" w:cs="Times New Roman"/>
        </w:rPr>
        <w:t>невключени</w:t>
      </w:r>
      <w:proofErr w:type="spellEnd"/>
      <w:r w:rsidRPr="00700D17">
        <w:rPr>
          <w:rFonts w:ascii="Times New Roman" w:hAnsi="Times New Roman" w:cs="Times New Roman"/>
        </w:rPr>
        <w:t xml:space="preserve"> в списъка вещества, по-специално:</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(а)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да получава информация за всякакви поръчки или операции, включващи </w:t>
      </w:r>
      <w:proofErr w:type="spellStart"/>
      <w:r w:rsidRPr="00700D17">
        <w:rPr>
          <w:rFonts w:ascii="Times New Roman" w:hAnsi="Times New Roman" w:cs="Times New Roman"/>
        </w:rPr>
        <w:t>невключени</w:t>
      </w:r>
      <w:proofErr w:type="spellEnd"/>
      <w:r w:rsidRPr="00700D17">
        <w:rPr>
          <w:rFonts w:ascii="Times New Roman" w:hAnsi="Times New Roman" w:cs="Times New Roman"/>
        </w:rPr>
        <w:t xml:space="preserve"> в списъка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(б)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да влизат в търговски помещения, за да получат доказателства за съмнителни сделки, включващи </w:t>
      </w:r>
      <w:proofErr w:type="spellStart"/>
      <w:r w:rsidRPr="00700D17">
        <w:rPr>
          <w:rFonts w:ascii="Times New Roman" w:hAnsi="Times New Roman" w:cs="Times New Roman"/>
        </w:rPr>
        <w:t>невключени</w:t>
      </w:r>
      <w:proofErr w:type="spellEnd"/>
      <w:r w:rsidRPr="00700D17">
        <w:rPr>
          <w:rFonts w:ascii="Times New Roman" w:hAnsi="Times New Roman" w:cs="Times New Roman"/>
        </w:rPr>
        <w:t xml:space="preserve"> в списъка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4.   С цел предотвратяване на специфични рискове от отклоняване в свободните зони, както и в други чувствителни зони, като например митнически складове, държавите членки гарантират, че се прилага ефективен контрол върху операциите, извършвани в тези зони, на всеки етап от тези операции и че контролът не е по-малко строг от този, прилаган в другите части на митническата територия.</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5.   Компетентните органи могат да изискват от операторите да заплатят такса за издаване на лицензи, регистрации и разрешения. Тези такси се начисляват по недискриминационен начин и не надвишават приблизителните разходи за обработка на заявлението.</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ГЛАВА IV</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АДМИНИСТРАТИВНО СЪТРУДНИЧЕСТВО</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lastRenderedPageBreak/>
        <w:t>Член 27</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За целите на прилагането на настоящия регламент и без да се засяга член 30, разпоредбите на Регламент (ЕО) № 515/97 се прилагат </w:t>
      </w:r>
      <w:proofErr w:type="spellStart"/>
      <w:r w:rsidRPr="00700D17">
        <w:rPr>
          <w:rFonts w:ascii="Times New Roman" w:hAnsi="Times New Roman" w:cs="Times New Roman"/>
        </w:rPr>
        <w:t>mutatis</w:t>
      </w:r>
      <w:proofErr w:type="spellEnd"/>
      <w:r w:rsidRPr="00700D17">
        <w:rPr>
          <w:rFonts w:ascii="Times New Roman" w:hAnsi="Times New Roman" w:cs="Times New Roman"/>
        </w:rPr>
        <w:t xml:space="preserve"> </w:t>
      </w:r>
      <w:proofErr w:type="spellStart"/>
      <w:r w:rsidRPr="00700D17">
        <w:rPr>
          <w:rFonts w:ascii="Times New Roman" w:hAnsi="Times New Roman" w:cs="Times New Roman"/>
        </w:rPr>
        <w:t>mutandis</w:t>
      </w:r>
      <w:proofErr w:type="spellEnd"/>
      <w:r w:rsidRPr="00700D17">
        <w:rPr>
          <w:rFonts w:ascii="Times New Roman" w:hAnsi="Times New Roman" w:cs="Times New Roman"/>
        </w:rPr>
        <w:t xml:space="preserve"> . Всяка държава членка съобщава на останалите държави членки и на Комисията имената на компетентните органи, определени да действат като кореспонденти в съответствие с член 2, параграф 2 от посочения регламент.</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ГЛАВА V</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ДЕЛЕГИРАНИ И ИЗПЪЛНИТЕЛНИ АКТОВЕ</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28</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В допълнение към мерките, посочени в член 26, Комисията е оправомощена да определя, когато е необходимо, чрез актове за изпълнение, мерки за осигуряване на ефективно наблюдение на търговията между Съюза и трети държави с </w:t>
      </w:r>
      <w:proofErr w:type="spellStart"/>
      <w:r w:rsidRPr="00700D17">
        <w:rPr>
          <w:rFonts w:ascii="Times New Roman" w:hAnsi="Times New Roman" w:cs="Times New Roman"/>
        </w:rPr>
        <w:t>прекурсори</w:t>
      </w:r>
      <w:proofErr w:type="spellEnd"/>
      <w:r w:rsidRPr="00700D17">
        <w:rPr>
          <w:rFonts w:ascii="Times New Roman" w:hAnsi="Times New Roman" w:cs="Times New Roman"/>
        </w:rPr>
        <w:t xml:space="preserve"> на наркотични вещества, по-специално по отношение на проектирането и използването на формуляри за разрешения за износ и внос, с цел предотвратяване на отклоняването на </w:t>
      </w:r>
      <w:proofErr w:type="spellStart"/>
      <w:r w:rsidRPr="00700D17">
        <w:rPr>
          <w:rFonts w:ascii="Times New Roman" w:hAnsi="Times New Roman" w:cs="Times New Roman"/>
        </w:rPr>
        <w:t>прекурсори</w:t>
      </w:r>
      <w:proofErr w:type="spellEnd"/>
      <w:r w:rsidRPr="00700D17">
        <w:rPr>
          <w:rFonts w:ascii="Times New Roman" w:hAnsi="Times New Roman" w:cs="Times New Roman"/>
        </w:rPr>
        <w:t xml:space="preserve"> на наркотични вещества. Тези актове за изпълнение се приемат в съответствие с процедурата по разглеждане, посочена в член 30, параграф 2.</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 —————</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30</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1.   Комисията се подпомага от Комитета по </w:t>
      </w:r>
      <w:proofErr w:type="spellStart"/>
      <w:r w:rsidRPr="00700D17">
        <w:rPr>
          <w:rFonts w:ascii="Times New Roman" w:hAnsi="Times New Roman" w:cs="Times New Roman"/>
        </w:rPr>
        <w:t>прекурсорите</w:t>
      </w:r>
      <w:proofErr w:type="spellEnd"/>
      <w:r w:rsidRPr="00700D17">
        <w:rPr>
          <w:rFonts w:ascii="Times New Roman" w:hAnsi="Times New Roman" w:cs="Times New Roman"/>
        </w:rPr>
        <w:t xml:space="preserve"> на наркотични вещества. Този комитет е комитет по смисъла на Регламент (ЕС) № 182/2011 на Европейския парламент и на Съвета ( 6 ).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Когато се прави позоваване на този параграф, се прилага член 5 от Регламент (ЕС) № 182/2011.</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30а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На Комисията се предоставя правомощието да приема делегирани актове в съответствие с член 30б от настоящия регламент, за да адаптира приложението към новите тенденции в отклоняването на </w:t>
      </w:r>
      <w:proofErr w:type="spellStart"/>
      <w:r w:rsidRPr="00700D17">
        <w:rPr>
          <w:rFonts w:ascii="Times New Roman" w:hAnsi="Times New Roman" w:cs="Times New Roman"/>
        </w:rPr>
        <w:t>прекурсори</w:t>
      </w:r>
      <w:proofErr w:type="spellEnd"/>
      <w:r w:rsidRPr="00700D17">
        <w:rPr>
          <w:rFonts w:ascii="Times New Roman" w:hAnsi="Times New Roman" w:cs="Times New Roman"/>
        </w:rPr>
        <w:t xml:space="preserve"> на наркотици, по-специално вещества, които могат лесно да бъдат трансформирани в вписани вещества, и да следва всяко изменение на таблиците в приложението към Конвенцията на Организацията на обединените нации.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30б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Правомощието да приема делегирани актове се предоставя на Комисията при условията, предвидени в настоящия член.</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Правомощието да приема делегирани актове, посочено в член 6, параграф 1, трета алинея, член 7, параграф 1, трета алинея, член 8, параграф 2, член 9, параграф 2, втора алинея, член 10, параграф 5, член 11, параграфи 1 и 3, членове 19 и 30а и член 32, параграф 2, се предоставя на Комисията за срок от пет години, считано от 30 декември 2013 г. Комисията изготвя доклад относно делегирането на правомощия не по-късно от девет месеца преди края на петгодишния период. Делегирането на правомощия се удължава мълчаливо за периоди с еднаква продължителност, освен ако Европейският парламент или Съветът не възразят срещу такова удължаване не по-късно от три месеца преди края на всеки период.</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3.   Делегирането на правомощия, посочено в член 6, параграф 1, трета алинея, член 7, параграф 1, трета алинея, член 8, параграф 2, член 9, параграф 2, втора алинея, член 10, параграф 5, член 11, параграфи 1 и 3, членове 19 и 30а и член 32, параграф 2, може да бъде оттеглено по всяко време от Европейския парламент или от Съвета. Решението за отмяна прекратява делегирането на правомощията, посочено в това решение. То поражда действие в деня след публикуването на решението в Официален вестник на Европейския съюз или на по-късна дата, посочена в него. То не засяга валидността на вече влезли в сила делегирани актове.</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4.   Веднага след като приеме делегиран акт, Комисията го уведомява едновременно на Европейския парламент и на Съвета.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5.   Делегиран акт, приет съгласно член 6, параграф 1, трета алинея, член 7, параграф 1, трета алинея, член 8, параграф 2, член 9, параграф 2, втора алинея, член 10, параграф 5, член 11, параграфи 1 и 3, членове 19 и 30а и член 32, параграф 2, влиза в сила само ако нито Европейският парламент, нито Съветът са представили възражения в срок от два месеца от </w:t>
      </w:r>
      <w:proofErr w:type="spellStart"/>
      <w:r w:rsidRPr="00700D17">
        <w:rPr>
          <w:rFonts w:ascii="Times New Roman" w:hAnsi="Times New Roman" w:cs="Times New Roman"/>
        </w:rPr>
        <w:t>нотифицирането</w:t>
      </w:r>
      <w:proofErr w:type="spellEnd"/>
      <w:r w:rsidRPr="00700D17">
        <w:rPr>
          <w:rFonts w:ascii="Times New Roman" w:hAnsi="Times New Roman" w:cs="Times New Roman"/>
        </w:rPr>
        <w:t xml:space="preserve"> на този акт на Европейския парламент и Съвета или ако преди изтичането на този срок Европейският парламент и Съветът са информирали Комисията, че няма да представят възражения. Този срок се удължава с два месеца по инициатива на Европейския парламент или на Съвета.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ГЛАВА VI</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ЗАКЛЮЧИТЕЛНИ РАЗПОРЕДБИ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lastRenderedPageBreak/>
        <w:t>Член 31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Държавите членки установяват правилата за санкциите, приложими при нарушения на разпоредбите на настоящия регламент, и предприемат всички необходими мерки, за да гарантират тяхното прилагане. Предвидените санкции трябва да бъдат ефективни, пропорционални и възпиращи.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32</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Компетентните органи във всяка държава членка своевременно съобщават на Комисията в електронен вид чрез европейската база данни цялата съответна информация относно прилагането на мерките за мониторинг, предвидени в настоящия регламент, по-специално по отношение на веществата, използвани за незаконно производство на наркотични или психотропни вещества, и методите за отклоняване и незаконно производство, както и законната им търговия.</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Комисията е оправомощена да приема делегирани актове в съответствие с член 30б, за да определи условията и изискванията относно информацията, която трябва да бъде предоставена съгласно параграф 1 от настоящия член.</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3.   Въз основа на информацията, посочена в параграф 1 от настоящия член, Комисията, след консултация с държавите членки, оценява ефективността на настоящия регламент и, в съответствие с член 12, параграф 12 от Конвенцията на Организацията на обединените нации, изготвя годишен доклад, който се представя на Международния съвет за контрол на наркотиците.</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4.   До 31 декември 2019 г. Комисията представя доклад на Европейския парламент и на Съвета относно прилагането и функционирането на настоящия регламент, и по-специално относно евентуалната необходимост от допълнителни действия за наблюдение и контрол на подозрителни сделки с </w:t>
      </w:r>
      <w:proofErr w:type="spellStart"/>
      <w:r w:rsidRPr="00700D17">
        <w:rPr>
          <w:rFonts w:ascii="Times New Roman" w:hAnsi="Times New Roman" w:cs="Times New Roman"/>
        </w:rPr>
        <w:t>невключени</w:t>
      </w:r>
      <w:proofErr w:type="spellEnd"/>
      <w:r w:rsidRPr="00700D17">
        <w:rPr>
          <w:rFonts w:ascii="Times New Roman" w:hAnsi="Times New Roman" w:cs="Times New Roman"/>
        </w:rPr>
        <w:t xml:space="preserve"> в списъка вещества.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32а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Компетентните органи на държавите членки и Комисията използват европейската база данни при условията за нейното използване за следните функции:</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(а)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да улесни съобщаването на информация съгласно член 32(1), както и докладването до Международния съвет за контрол на наркотиците съгласно член 32(3);</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(б)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lastRenderedPageBreak/>
        <w:t>да управлява европейски регистър на операторите, на които е издаден лиценз или регистрация;</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 xml:space="preserve">(в)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да се даде възможност на операторите да предоставят на компетентните органи информация относно своите дейности по износ, внос или посредничество съгласно член 9, параграф 2, в електронен формат.</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▼M1</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33</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1.   Обработката на лични данни от компетентните органи в държавите членки се извършва в съответствие с националните законови, подзаконови и административни разпоредби, транспониращи Директива 95/46/ЕО на Европейския парламент и на Съвета ( 7 ), и под надзора на надзорния орган на държавата членка, посочен в член 28 от посочената директива.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2.   Обработката на лични данни от Комисията, включително за целите на европейската база данни, се извършва в съответствие с Регламент (ЕО) № 45/2001 на Европейския парламент и на Съвета ( 8 ) и под надзора на Европейския надзорен орган по защита на данните.</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3.   За целите на настоящия регламент не се обработват специални категории данни по смисъла на член 8, параграф 1 от Директива 95/46/ЕО.</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4.   Личните данни, събрани за целите на настоящия регламент, не се обработват допълнително по начин, несъвместим с Директива 95/46/ЕО или Регламент (ЕО) № 45/2001, и не се съхраняват по-дълго от необходимото за целите, за които са били събрани.</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5.   Държавите членки и Комисията не обработват лични данни по начин, несъвместим с целите, посочени в член 32а.</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Без да се засяга член 13 от Директива 95/46/ЕО, личните данни, получени или обработени съгласно настоящия регламент, се използват с цел предотвратяване на отклоняването на вписани вещества.</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▼Б</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Член 34</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Регламент (ЕИО) № 3677/90 се отменя, считано от 18 август 2005 г.</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Позоваванията на отменения регламент се тълкуват като позовавания на настоящия регламент.</w:t>
      </w:r>
    </w:p>
    <w:p w:rsidR="00700D17" w:rsidRPr="00700D17" w:rsidRDefault="00700D17" w:rsidP="00700D17">
      <w:pPr>
        <w:jc w:val="both"/>
        <w:rPr>
          <w:rFonts w:ascii="Times New Roman" w:hAnsi="Times New Roman" w:cs="Times New Roman"/>
        </w:rPr>
      </w:pP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lastRenderedPageBreak/>
        <w:t>Член 35</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Настоящият регламент влиза в сила на двадесетия ден след публикуването му в Официален вестник на Европейския съюз .</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Прилага се от 18 август 2005 г. Член 6, параграф 1, член 7, параграф 2, член 8, параграф 2, член 9, параграф 2, член 11, параграфи 1 и 3, член 12, параграф 1, членове 19, 28 и 30 обаче се прилагат от деня на влизане в сила на настоящия регламент, за да се позволи приемането на мерките, предвидени в тези членове. Тези мерки влизат в сила най-рано на 18 август 2005 г.</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Настоящият регламент е задължителен в своята цялост и се прилага пряко във всички държави членки.</w:t>
      </w:r>
    </w:p>
    <w:p w:rsidR="00700D17" w:rsidRPr="00700D17" w:rsidRDefault="00700D17" w:rsidP="00700D17">
      <w:pPr>
        <w:jc w:val="both"/>
        <w:rPr>
          <w:rFonts w:ascii="Times New Roman" w:hAnsi="Times New Roman" w:cs="Times New Roman"/>
        </w:rPr>
      </w:pPr>
      <w:r w:rsidRPr="00700D17">
        <w:rPr>
          <w:rFonts w:ascii="Times New Roman" w:hAnsi="Times New Roman" w:cs="Times New Roman"/>
        </w:rPr>
        <w:t>ПРИЛОЖЕНИЕ</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Списък на вписаните вещества</w:t>
      </w:r>
    </w:p>
    <w:bookmarkStart w:id="0" w:name="_GoBack"/>
    <w:bookmarkEnd w:id="0"/>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fldChar w:fldCharType="begin"/>
      </w:r>
      <w:r w:rsidRPr="00820139">
        <w:rPr>
          <w:rFonts w:ascii="Times New Roman" w:hAnsi="Times New Roman" w:cs="Times New Roman"/>
          <w:b/>
          <w:bCs/>
        </w:rPr>
        <w:instrText xml:space="preserve"> HYPERLINK "https://eur-lex.europa.eu/legal-content/EN/AUTO/?uri=celex:32013R1259" \o "32013R1259: </w:instrText>
      </w:r>
      <w:r w:rsidRPr="00820139">
        <w:rPr>
          <w:rFonts w:ascii="Times New Roman" w:hAnsi="Times New Roman" w:cs="Times New Roman" w:hint="eastAsia"/>
          <w:b/>
          <w:bCs/>
        </w:rPr>
        <w:instrText>ВКЛЮЧЕНО</w:instrText>
      </w:r>
      <w:r w:rsidRPr="00820139">
        <w:rPr>
          <w:rFonts w:ascii="Times New Roman" w:hAnsi="Times New Roman" w:cs="Times New Roman"/>
          <w:b/>
          <w:bCs/>
        </w:rPr>
        <w:instrText xml:space="preserve">" </w:instrText>
      </w:r>
      <w:r w:rsidRPr="00820139">
        <w:rPr>
          <w:rFonts w:ascii="Times New Roman" w:hAnsi="Times New Roman" w:cs="Times New Roman"/>
          <w:b/>
          <w:bCs/>
        </w:rPr>
        <w:fldChar w:fldCharType="separate"/>
      </w:r>
      <w:r w:rsidRPr="00820139">
        <w:rPr>
          <w:rStyle w:val="Hyperlink"/>
          <w:rFonts w:ascii="Times New Roman" w:hAnsi="Times New Roman" w:cs="Times New Roman"/>
          <w:b/>
          <w:bCs/>
        </w:rPr>
        <w:t>▼M1</w:t>
      </w:r>
      <w:r w:rsidRPr="00820139">
        <w:rPr>
          <w:rFonts w:ascii="Times New Roman" w:hAnsi="Times New Roman" w:cs="Times New Roman"/>
        </w:rPr>
        <w:fldChar w:fldCharType="end"/>
      </w:r>
    </w:p>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Категория 1</w:t>
      </w:r>
    </w:p>
    <w:p w:rsidR="00820139" w:rsidRPr="00820139" w:rsidRDefault="00820139" w:rsidP="00820139">
      <w:pPr>
        <w:jc w:val="both"/>
        <w:rPr>
          <w:rFonts w:ascii="Times New Roman" w:hAnsi="Times New Roman" w:cs="Times New Roman"/>
          <w:b/>
          <w:bCs/>
        </w:rPr>
      </w:pPr>
      <w:hyperlink r:id="rId4" w:tooltip="32005R0111" w:history="1">
        <w:r w:rsidRPr="00820139">
          <w:rPr>
            <w:rStyle w:val="Hyperlink"/>
            <w:rFonts w:ascii="Times New Roman" w:hAnsi="Times New Roman" w:cs="Times New Roman"/>
            <w:b/>
            <w:bCs/>
          </w:rPr>
          <w:t>▼Б</w:t>
        </w:r>
      </w:hyperlink>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05"/>
        <w:gridCol w:w="3024"/>
        <w:gridCol w:w="1214"/>
        <w:gridCol w:w="1113"/>
      </w:tblGrid>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Вещество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Обозначение по КН</w:t>
            </w:r>
          </w:p>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(ако е различно)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Код по КН  </w:t>
            </w:r>
            <w:hyperlink r:id="rId5" w:anchor="E0009" w:history="1">
              <w:r w:rsidRPr="00820139">
                <w:rPr>
                  <w:rStyle w:val="Hyperlink"/>
                  <w:rFonts w:ascii="Times New Roman" w:hAnsi="Times New Roman" w:cs="Times New Roman"/>
                  <w:b/>
                  <w:bCs/>
                </w:rPr>
                <w:t>( </w:t>
              </w:r>
              <w:r w:rsidRPr="00820139">
                <w:rPr>
                  <w:rStyle w:val="Hyperlink"/>
                  <w:rFonts w:ascii="Times New Roman" w:hAnsi="Times New Roman" w:cs="Times New Roman"/>
                  <w:b/>
                  <w:bCs/>
                  <w:vertAlign w:val="superscript"/>
                </w:rPr>
                <w:t>1</w:t>
              </w:r>
              <w:r w:rsidRPr="00820139">
                <w:rPr>
                  <w:rStyle w:val="Hyperlink"/>
                  <w:rFonts w:ascii="Times New Roman" w:hAnsi="Times New Roman" w:cs="Times New Roman"/>
                  <w:b/>
                  <w:bCs/>
                </w:rPr>
                <w:t> )</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CAS номер  </w:t>
            </w:r>
            <w:hyperlink r:id="rId6" w:anchor="E0010" w:history="1">
              <w:r w:rsidRPr="00820139">
                <w:rPr>
                  <w:rStyle w:val="Hyperlink"/>
                  <w:rFonts w:ascii="Times New Roman" w:hAnsi="Times New Roman" w:cs="Times New Roman"/>
                  <w:b/>
                  <w:bCs/>
                </w:rPr>
                <w:t>( </w:t>
              </w:r>
              <w:r w:rsidRPr="00820139">
                <w:rPr>
                  <w:rStyle w:val="Hyperlink"/>
                  <w:rFonts w:ascii="Times New Roman" w:hAnsi="Times New Roman" w:cs="Times New Roman"/>
                  <w:b/>
                  <w:bCs/>
                  <w:vertAlign w:val="superscript"/>
                </w:rPr>
                <w:t>2</w:t>
              </w:r>
              <w:r w:rsidRPr="00820139">
                <w:rPr>
                  <w:rStyle w:val="Hyperlink"/>
                  <w:rFonts w:ascii="Times New Roman" w:hAnsi="Times New Roman" w:cs="Times New Roman"/>
                  <w:b/>
                  <w:bCs/>
                </w:rPr>
                <w:t> )</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1-фенил-2-пропанон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Фенилацетон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2914 31 00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103-79-7</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7" w:tooltip="32023R0196: ВКЛЮЧЕНО" w:history="1">
              <w:r w:rsidRPr="00820139">
                <w:rPr>
                  <w:rStyle w:val="Hyperlink"/>
                  <w:rFonts w:ascii="Times New Roman" w:hAnsi="Times New Roman" w:cs="Times New Roman"/>
                  <w:b/>
                  <w:bCs/>
                </w:rPr>
                <w:t>▼M6</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Диетил</w:t>
            </w:r>
            <w:proofErr w:type="spellEnd"/>
            <w:r w:rsidRPr="00820139">
              <w:rPr>
                <w:rFonts w:ascii="Times New Roman" w:hAnsi="Times New Roman" w:cs="Times New Roman"/>
              </w:rPr>
              <w:t xml:space="preserve"> (</w:t>
            </w:r>
            <w:proofErr w:type="spellStart"/>
            <w:r w:rsidRPr="00820139">
              <w:rPr>
                <w:rFonts w:ascii="Times New Roman" w:hAnsi="Times New Roman" w:cs="Times New Roman"/>
              </w:rPr>
              <w:t>фенилацетил</w:t>
            </w:r>
            <w:proofErr w:type="spellEnd"/>
            <w:r w:rsidRPr="00820139">
              <w:rPr>
                <w:rFonts w:ascii="Times New Roman" w:hAnsi="Times New Roman" w:cs="Times New Roman"/>
              </w:rPr>
              <w:t xml:space="preserve">) </w:t>
            </w:r>
            <w:proofErr w:type="spellStart"/>
            <w:r w:rsidRPr="00820139">
              <w:rPr>
                <w:rFonts w:ascii="Times New Roman" w:hAnsi="Times New Roman" w:cs="Times New Roman"/>
              </w:rPr>
              <w:t>пропандиоат</w:t>
            </w:r>
            <w:proofErr w:type="spellEnd"/>
            <w:r w:rsidRPr="00820139">
              <w:rPr>
                <w:rFonts w:ascii="Times New Roman" w:hAnsi="Times New Roman" w:cs="Times New Roman"/>
              </w:rPr>
              <w:t xml:space="preserve"> (DEPAPD)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2918 30 00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20320-59-6</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8" w:tooltip="32020R1737: ВКЛЮЧЕНО" w:history="1">
              <w:r w:rsidRPr="00820139">
                <w:rPr>
                  <w:rStyle w:val="Hyperlink"/>
                  <w:rFonts w:ascii="Times New Roman" w:hAnsi="Times New Roman" w:cs="Times New Roman"/>
                  <w:b/>
                  <w:bCs/>
                </w:rPr>
                <w:t>▼M4</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Метил </w:t>
            </w:r>
            <w:r w:rsidRPr="00820139">
              <w:rPr>
                <w:rFonts w:ascii="Times New Roman" w:hAnsi="Times New Roman" w:cs="Times New Roman"/>
                <w:i/>
                <w:iCs/>
              </w:rPr>
              <w:t>алфа</w:t>
            </w:r>
            <w:r w:rsidRPr="00820139">
              <w:rPr>
                <w:rFonts w:ascii="Times New Roman" w:hAnsi="Times New Roman" w:cs="Times New Roman"/>
              </w:rPr>
              <w:t> -</w:t>
            </w:r>
            <w:proofErr w:type="spellStart"/>
            <w:r w:rsidRPr="00820139">
              <w:rPr>
                <w:rFonts w:ascii="Times New Roman" w:hAnsi="Times New Roman" w:cs="Times New Roman"/>
              </w:rPr>
              <w:t>фенилацетоацетат</w:t>
            </w:r>
            <w:proofErr w:type="spellEnd"/>
            <w:r w:rsidRPr="00820139">
              <w:rPr>
                <w:rFonts w:ascii="Times New Roman" w:hAnsi="Times New Roman" w:cs="Times New Roman"/>
              </w:rPr>
              <w:t xml:space="preserve"> (MAPA)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2918 30 00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16648-44-5</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9" w:tooltip="32022R1518: ВКЛЮЧЕНО" w:history="1">
              <w:r w:rsidRPr="00820139">
                <w:rPr>
                  <w:rStyle w:val="Hyperlink"/>
                  <w:rFonts w:ascii="Times New Roman" w:hAnsi="Times New Roman" w:cs="Times New Roman"/>
                  <w:b/>
                  <w:bCs/>
                </w:rPr>
                <w:t>▼M5</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Етил алфа-</w:t>
            </w:r>
            <w:proofErr w:type="spellStart"/>
            <w:r w:rsidRPr="00820139">
              <w:rPr>
                <w:rFonts w:ascii="Times New Roman" w:hAnsi="Times New Roman" w:cs="Times New Roman"/>
              </w:rPr>
              <w:t>фенилацетоацетат</w:t>
            </w:r>
            <w:proofErr w:type="spellEnd"/>
            <w:r w:rsidRPr="00820139">
              <w:rPr>
                <w:rFonts w:ascii="Times New Roman" w:hAnsi="Times New Roman" w:cs="Times New Roman"/>
              </w:rPr>
              <w:t xml:space="preserve"> (EAPA)  </w:t>
            </w:r>
            <w:hyperlink r:id="rId10" w:anchor="E0012" w:history="1">
              <w:r w:rsidRPr="00820139">
                <w:rPr>
                  <w:rStyle w:val="Hyperlink"/>
                  <w:rFonts w:ascii="Times New Roman" w:hAnsi="Times New Roman" w:cs="Times New Roman"/>
                </w:rPr>
                <w:t>( </w:t>
              </w:r>
              <w:r w:rsidRPr="00820139">
                <w:rPr>
                  <w:rStyle w:val="Hyperlink"/>
                  <w:rFonts w:ascii="Times New Roman" w:hAnsi="Times New Roman" w:cs="Times New Roman"/>
                  <w:vertAlign w:val="superscript"/>
                </w:rPr>
                <w:t>4</w:t>
              </w:r>
              <w:r w:rsidRPr="00820139">
                <w:rPr>
                  <w:rStyle w:val="Hyperlink"/>
                  <w:rFonts w:ascii="Times New Roman" w:hAnsi="Times New Roman" w:cs="Times New Roman"/>
                </w:rPr>
                <w:t> )</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Ex</w:t>
            </w:r>
            <w:proofErr w:type="spellEnd"/>
            <w:r w:rsidRPr="00820139">
              <w:rPr>
                <w:rFonts w:ascii="Times New Roman" w:hAnsi="Times New Roman" w:cs="Times New Roman"/>
              </w:rPr>
              <w:t xml:space="preserve"> 2918 30 00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5413-05-8</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11" w:tooltip="32024R1331: ИЗТРИТО" w:history="1">
              <w:r w:rsidRPr="00820139">
                <w:rPr>
                  <w:rStyle w:val="Hyperlink"/>
                  <w:rFonts w:ascii="Times New Roman" w:hAnsi="Times New Roman" w:cs="Times New Roman"/>
                  <w:b/>
                  <w:bCs/>
                </w:rPr>
                <w:t>▼M7</w:t>
              </w:r>
            </w:hyperlink>
            <w:r w:rsidRPr="00820139">
              <w:rPr>
                <w:rFonts w:ascii="Times New Roman" w:hAnsi="Times New Roman" w:cs="Times New Roman"/>
                <w:b/>
                <w:bCs/>
              </w:rPr>
              <w:t> —————</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12" w:tooltip="32024R1331: ЗАМЕНЕН" w:history="1">
              <w:r w:rsidRPr="00820139">
                <w:rPr>
                  <w:rStyle w:val="Hyperlink"/>
                  <w:rFonts w:ascii="Times New Roman" w:hAnsi="Times New Roman" w:cs="Times New Roman"/>
                  <w:b/>
                  <w:bCs/>
                </w:rPr>
                <w:t>▼M7</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2-метил-3-фенилоксиран-2-карбоксилна киселина</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xml:space="preserve">(BMK </w:t>
            </w:r>
            <w:proofErr w:type="spellStart"/>
            <w:r w:rsidRPr="00820139">
              <w:rPr>
                <w:rFonts w:ascii="Times New Roman" w:hAnsi="Times New Roman" w:cs="Times New Roman"/>
              </w:rPr>
              <w:t>глицидова</w:t>
            </w:r>
            <w:proofErr w:type="spellEnd"/>
            <w:r w:rsidRPr="00820139">
              <w:rPr>
                <w:rFonts w:ascii="Times New Roman" w:hAnsi="Times New Roman" w:cs="Times New Roman"/>
              </w:rPr>
              <w:t xml:space="preserve"> киселина)  </w:t>
            </w:r>
            <w:hyperlink r:id="rId13" w:anchor="E0014" w:history="1">
              <w:r w:rsidRPr="00820139">
                <w:rPr>
                  <w:rStyle w:val="Hyperlink"/>
                  <w:rFonts w:ascii="Times New Roman" w:hAnsi="Times New Roman" w:cs="Times New Roman"/>
                </w:rPr>
                <w:t>( </w:t>
              </w:r>
              <w:r w:rsidRPr="00820139">
                <w:rPr>
                  <w:rStyle w:val="Hyperlink"/>
                  <w:rFonts w:ascii="Times New Roman" w:hAnsi="Times New Roman" w:cs="Times New Roman"/>
                  <w:vertAlign w:val="superscript"/>
                </w:rPr>
                <w:t>6</w:t>
              </w:r>
              <w:r w:rsidRPr="00820139">
                <w:rPr>
                  <w:rStyle w:val="Hyperlink"/>
                  <w:rFonts w:ascii="Times New Roman" w:hAnsi="Times New Roman" w:cs="Times New Roman"/>
                </w:rPr>
                <w:t> )</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2918 99 90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25547-51-7</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14" w:tooltip="32005R0111" w:history="1">
              <w:r w:rsidRPr="00820139">
                <w:rPr>
                  <w:rStyle w:val="Hyperlink"/>
                  <w:rFonts w:ascii="Times New Roman" w:hAnsi="Times New Roman" w:cs="Times New Roman"/>
                  <w:b/>
                  <w:bCs/>
                </w:rPr>
                <w:t>▼Б</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N-</w:t>
            </w:r>
            <w:proofErr w:type="spellStart"/>
            <w:r w:rsidRPr="00820139">
              <w:rPr>
                <w:rFonts w:ascii="Times New Roman" w:hAnsi="Times New Roman" w:cs="Times New Roman"/>
              </w:rPr>
              <w:t>ацетилантранилова</w:t>
            </w:r>
            <w:proofErr w:type="spellEnd"/>
            <w:r w:rsidRPr="00820139">
              <w:rPr>
                <w:rFonts w:ascii="Times New Roman" w:hAnsi="Times New Roman" w:cs="Times New Roman"/>
              </w:rPr>
              <w:t xml:space="preserve"> киселина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2-ацетамидобензоена киселина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2924 23 00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89-52-1</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15" w:tooltip="32020R1737: ВКЛЮЧЕНО" w:history="1">
              <w:r w:rsidRPr="00820139">
                <w:rPr>
                  <w:rStyle w:val="Hyperlink"/>
                  <w:rFonts w:ascii="Times New Roman" w:hAnsi="Times New Roman" w:cs="Times New Roman"/>
                  <w:b/>
                  <w:bCs/>
                </w:rPr>
                <w:t>▼M4</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i/>
                <w:iCs/>
              </w:rPr>
              <w:t>Алфа</w:t>
            </w:r>
            <w:r w:rsidRPr="00820139">
              <w:rPr>
                <w:rFonts w:ascii="Times New Roman" w:hAnsi="Times New Roman" w:cs="Times New Roman"/>
              </w:rPr>
              <w:t> -</w:t>
            </w:r>
            <w:proofErr w:type="spellStart"/>
            <w:r w:rsidRPr="00820139">
              <w:rPr>
                <w:rFonts w:ascii="Times New Roman" w:hAnsi="Times New Roman" w:cs="Times New Roman"/>
              </w:rPr>
              <w:t>фенилацетоацетамид</w:t>
            </w:r>
            <w:proofErr w:type="spellEnd"/>
            <w:r w:rsidRPr="00820139">
              <w:rPr>
                <w:rFonts w:ascii="Times New Roman" w:hAnsi="Times New Roman" w:cs="Times New Roman"/>
              </w:rPr>
              <w:t xml:space="preserve"> (APAA)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2924 29 70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4433-77-6</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16" w:tooltip="32020R1737: ЗАМЕНЕН" w:history="1">
              <w:r w:rsidRPr="00820139">
                <w:rPr>
                  <w:rStyle w:val="Hyperlink"/>
                  <w:rFonts w:ascii="Times New Roman" w:hAnsi="Times New Roman" w:cs="Times New Roman"/>
                  <w:b/>
                  <w:bCs/>
                </w:rPr>
                <w:t>▼M4</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i/>
                <w:iCs/>
              </w:rPr>
              <w:t>Алфа</w:t>
            </w:r>
            <w:r w:rsidRPr="00820139">
              <w:rPr>
                <w:rFonts w:ascii="Times New Roman" w:hAnsi="Times New Roman" w:cs="Times New Roman"/>
              </w:rPr>
              <w:t> -</w:t>
            </w:r>
            <w:proofErr w:type="spellStart"/>
            <w:r w:rsidRPr="00820139">
              <w:rPr>
                <w:rFonts w:ascii="Times New Roman" w:hAnsi="Times New Roman" w:cs="Times New Roman"/>
              </w:rPr>
              <w:t>фенилацетоацетонитрил</w:t>
            </w:r>
            <w:proofErr w:type="spellEnd"/>
            <w:r w:rsidRPr="00820139">
              <w:rPr>
                <w:rFonts w:ascii="Times New Roman" w:hAnsi="Times New Roman" w:cs="Times New Roman"/>
              </w:rPr>
              <w:t xml:space="preserve"> (APAAN)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2926 40 00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4468-48-8</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17" w:tooltip="32005R0111" w:history="1">
              <w:r w:rsidRPr="00820139">
                <w:rPr>
                  <w:rStyle w:val="Hyperlink"/>
                  <w:rFonts w:ascii="Times New Roman" w:hAnsi="Times New Roman" w:cs="Times New Roman"/>
                  <w:b/>
                  <w:bCs/>
                </w:rPr>
                <w:t>▼Б</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Изосафрол</w:t>
            </w:r>
            <w:proofErr w:type="spellEnd"/>
            <w:r w:rsidRPr="00820139">
              <w:rPr>
                <w:rFonts w:ascii="Times New Roman" w:hAnsi="Times New Roman" w:cs="Times New Roman"/>
              </w:rPr>
              <w:t xml:space="preserve"> (</w:t>
            </w:r>
            <w:proofErr w:type="spellStart"/>
            <w:r w:rsidRPr="00820139">
              <w:rPr>
                <w:rFonts w:ascii="Times New Roman" w:hAnsi="Times New Roman" w:cs="Times New Roman"/>
              </w:rPr>
              <w:t>цис</w:t>
            </w:r>
            <w:proofErr w:type="spellEnd"/>
            <w:r w:rsidRPr="00820139">
              <w:rPr>
                <w:rFonts w:ascii="Times New Roman" w:hAnsi="Times New Roman" w:cs="Times New Roman"/>
              </w:rPr>
              <w:t xml:space="preserve"> + транс)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2932 91 00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120-58-1</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3,4-метилендиоксифенилпропан-2-он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1-(1,3-бензодиоксол-5-ил)пропан-2-он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2932 92 00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4676-39-5</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Пиперонал</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2932 93 00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120-57-0</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Сафрол</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2932 94 00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94-59-7</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18" w:tooltip="32024R1331: ИЗТРИТО" w:history="1">
              <w:r w:rsidRPr="00820139">
                <w:rPr>
                  <w:rStyle w:val="Hyperlink"/>
                  <w:rFonts w:ascii="Times New Roman" w:hAnsi="Times New Roman" w:cs="Times New Roman"/>
                  <w:b/>
                  <w:bCs/>
                </w:rPr>
                <w:t>▼M7</w:t>
              </w:r>
            </w:hyperlink>
            <w:r w:rsidRPr="00820139">
              <w:rPr>
                <w:rFonts w:ascii="Times New Roman" w:hAnsi="Times New Roman" w:cs="Times New Roman"/>
                <w:b/>
                <w:bCs/>
              </w:rPr>
              <w:t> —————</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19" w:tooltip="32022R1518: ВКЛЮЧЕНО" w:history="1">
              <w:r w:rsidRPr="00820139">
                <w:rPr>
                  <w:rStyle w:val="Hyperlink"/>
                  <w:rFonts w:ascii="Times New Roman" w:hAnsi="Times New Roman" w:cs="Times New Roman"/>
                  <w:b/>
                  <w:bCs/>
                </w:rPr>
                <w:t>▼M5</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Pr>
                <w:rFonts w:ascii="Times New Roman" w:hAnsi="Times New Roman" w:cs="Times New Roman"/>
              </w:rPr>
              <w:t xml:space="preserve">Метил </w:t>
            </w:r>
            <w:r w:rsidRPr="00820139">
              <w:rPr>
                <w:rFonts w:ascii="Times New Roman" w:hAnsi="Times New Roman" w:cs="Times New Roman"/>
              </w:rPr>
              <w:t>3-оксо-2-(3,4-метилендиоксифенил)</w:t>
            </w:r>
            <w:proofErr w:type="spellStart"/>
            <w:r w:rsidRPr="00820139">
              <w:rPr>
                <w:rFonts w:ascii="Times New Roman" w:hAnsi="Times New Roman" w:cs="Times New Roman"/>
              </w:rPr>
              <w:t>бутаноат</w:t>
            </w:r>
            <w:proofErr w:type="spellEnd"/>
            <w:r w:rsidRPr="00820139">
              <w:rPr>
                <w:rFonts w:ascii="Times New Roman" w:hAnsi="Times New Roman" w:cs="Times New Roman"/>
              </w:rPr>
              <w:t xml:space="preserve"> (MAMDPA)  </w:t>
            </w:r>
            <w:hyperlink r:id="rId20" w:anchor="E0013" w:history="1">
              <w:r w:rsidRPr="00820139">
                <w:rPr>
                  <w:rStyle w:val="Hyperlink"/>
                  <w:rFonts w:ascii="Times New Roman" w:hAnsi="Times New Roman" w:cs="Times New Roman"/>
                </w:rPr>
                <w:t>( </w:t>
              </w:r>
              <w:r w:rsidRPr="00820139">
                <w:rPr>
                  <w:rStyle w:val="Hyperlink"/>
                  <w:rFonts w:ascii="Times New Roman" w:hAnsi="Times New Roman" w:cs="Times New Roman"/>
                  <w:vertAlign w:val="superscript"/>
                </w:rPr>
                <w:t>5</w:t>
              </w:r>
              <w:r w:rsidRPr="00820139">
                <w:rPr>
                  <w:rStyle w:val="Hyperlink"/>
                  <w:rFonts w:ascii="Times New Roman" w:hAnsi="Times New Roman" w:cs="Times New Roman"/>
                </w:rPr>
                <w:t> )</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метил 3-оксо-2-(3,4-метилендиоксифенил)</w:t>
            </w:r>
            <w:proofErr w:type="spellStart"/>
            <w:r w:rsidRPr="00820139">
              <w:rPr>
                <w:rFonts w:ascii="Times New Roman" w:hAnsi="Times New Roman" w:cs="Times New Roman"/>
              </w:rPr>
              <w:t>бутаноат</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Ех 2932 99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1369021-80-6</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21" w:tooltip="32024R1331: ЗАМЕНЕН" w:history="1">
              <w:r w:rsidRPr="00820139">
                <w:rPr>
                  <w:rStyle w:val="Hyperlink"/>
                  <w:rFonts w:ascii="Times New Roman" w:hAnsi="Times New Roman" w:cs="Times New Roman"/>
                  <w:b/>
                  <w:bCs/>
                </w:rPr>
                <w:t>▼M7</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xml:space="preserve">3-(1,3-бензодиоксол-5-ил)-2-метил-оксиран-2-карбоксилна киселина (PMK </w:t>
            </w:r>
            <w:proofErr w:type="spellStart"/>
            <w:r w:rsidRPr="00820139">
              <w:rPr>
                <w:rFonts w:ascii="Times New Roman" w:hAnsi="Times New Roman" w:cs="Times New Roman"/>
              </w:rPr>
              <w:t>глицидова</w:t>
            </w:r>
            <w:proofErr w:type="spellEnd"/>
            <w:r w:rsidRPr="00820139">
              <w:rPr>
                <w:rFonts w:ascii="Times New Roman" w:hAnsi="Times New Roman" w:cs="Times New Roman"/>
              </w:rPr>
              <w:t xml:space="preserve"> киселина)  </w:t>
            </w:r>
            <w:hyperlink r:id="rId22" w:anchor="E0015" w:history="1">
              <w:r w:rsidRPr="00820139">
                <w:rPr>
                  <w:rStyle w:val="Hyperlink"/>
                  <w:rFonts w:ascii="Times New Roman" w:hAnsi="Times New Roman" w:cs="Times New Roman"/>
                </w:rPr>
                <w:t>( </w:t>
              </w:r>
              <w:r w:rsidRPr="00820139">
                <w:rPr>
                  <w:rStyle w:val="Hyperlink"/>
                  <w:rFonts w:ascii="Times New Roman" w:hAnsi="Times New Roman" w:cs="Times New Roman"/>
                  <w:vertAlign w:val="superscript"/>
                </w:rPr>
                <w:t>7</w:t>
              </w:r>
              <w:r w:rsidRPr="00820139">
                <w:rPr>
                  <w:rStyle w:val="Hyperlink"/>
                  <w:rFonts w:ascii="Times New Roman" w:hAnsi="Times New Roman" w:cs="Times New Roman"/>
                </w:rPr>
                <w:t> )</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2932 99 00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2167189-50-4</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23" w:tooltip="32024R1331: ВКЛЮЧЕНО" w:history="1">
              <w:r w:rsidRPr="00820139">
                <w:rPr>
                  <w:rStyle w:val="Hyperlink"/>
                  <w:rFonts w:ascii="Times New Roman" w:hAnsi="Times New Roman" w:cs="Times New Roman"/>
                  <w:b/>
                  <w:bCs/>
                </w:rPr>
                <w:t>▼M7</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Изопропилиден</w:t>
            </w:r>
            <w:proofErr w:type="spellEnd"/>
            <w:r w:rsidRPr="00820139">
              <w:rPr>
                <w:rFonts w:ascii="Times New Roman" w:hAnsi="Times New Roman" w:cs="Times New Roman"/>
              </w:rPr>
              <w:t xml:space="preserve"> (2-(3,4-метилендиоксифенил)</w:t>
            </w:r>
            <w:proofErr w:type="spellStart"/>
            <w:r w:rsidRPr="00820139">
              <w:rPr>
                <w:rFonts w:ascii="Times New Roman" w:hAnsi="Times New Roman" w:cs="Times New Roman"/>
              </w:rPr>
              <w:t>ацетил</w:t>
            </w:r>
            <w:proofErr w:type="spellEnd"/>
            <w:r w:rsidRPr="00820139">
              <w:rPr>
                <w:rFonts w:ascii="Times New Roman" w:hAnsi="Times New Roman" w:cs="Times New Roman"/>
              </w:rPr>
              <w:t>)</w:t>
            </w:r>
            <w:proofErr w:type="spellStart"/>
            <w:r w:rsidRPr="00820139">
              <w:rPr>
                <w:rFonts w:ascii="Times New Roman" w:hAnsi="Times New Roman" w:cs="Times New Roman"/>
              </w:rPr>
              <w:t>малонат</w:t>
            </w:r>
            <w:proofErr w:type="spellEnd"/>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(IMDPAM)  </w:t>
            </w:r>
            <w:hyperlink r:id="rId24" w:anchor="E0016" w:history="1">
              <w:r w:rsidRPr="00820139">
                <w:rPr>
                  <w:rStyle w:val="Hyperlink"/>
                  <w:rFonts w:ascii="Times New Roman" w:hAnsi="Times New Roman" w:cs="Times New Roman"/>
                </w:rPr>
                <w:t>( </w:t>
              </w:r>
              <w:r w:rsidRPr="00820139">
                <w:rPr>
                  <w:rStyle w:val="Hyperlink"/>
                  <w:rFonts w:ascii="Times New Roman" w:hAnsi="Times New Roman" w:cs="Times New Roman"/>
                  <w:vertAlign w:val="superscript"/>
                </w:rPr>
                <w:t>8</w:t>
              </w:r>
              <w:r w:rsidRPr="00820139">
                <w:rPr>
                  <w:rStyle w:val="Hyperlink"/>
                  <w:rFonts w:ascii="Times New Roman" w:hAnsi="Times New Roman" w:cs="Times New Roman"/>
                </w:rPr>
                <w:t> )</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ИМДПАМ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2932 99 00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25" w:tooltip="32023R0196: ЗАМЕНЕН" w:history="1">
              <w:r w:rsidRPr="00820139">
                <w:rPr>
                  <w:rStyle w:val="Hyperlink"/>
                  <w:rFonts w:ascii="Times New Roman" w:hAnsi="Times New Roman" w:cs="Times New Roman"/>
                  <w:b/>
                  <w:bCs/>
                </w:rPr>
                <w:t>▼M6</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N-фенил-1-(2-фенилетил)пиперидин-4-амин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4-анилино-N-фенетилпиперидин (ANPP)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2933 36 00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21409-26-7</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1-(2-фенилетил)пиперидин-4-он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N-фенетил-4-пиперидон (NPP)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2933 37 00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39742-60-4</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26" w:tooltip="32023R0196: ВКЛЮЧЕНО" w:history="1">
              <w:r w:rsidRPr="00820139">
                <w:rPr>
                  <w:rStyle w:val="Hyperlink"/>
                  <w:rFonts w:ascii="Times New Roman" w:hAnsi="Times New Roman" w:cs="Times New Roman"/>
                  <w:b/>
                  <w:bCs/>
                </w:rPr>
                <w:t>▼M6</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N-фенилпиперидин-4-амин (4-AP)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2933 39 99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23056-29-3</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lastRenderedPageBreak/>
              <w:t>Терт-бутил</w:t>
            </w:r>
            <w:proofErr w:type="spellEnd"/>
            <w:r w:rsidRPr="00820139">
              <w:rPr>
                <w:rFonts w:ascii="Times New Roman" w:hAnsi="Times New Roman" w:cs="Times New Roman"/>
              </w:rPr>
              <w:t xml:space="preserve"> 4-анилинопиперидин-1-карбоксилат (1-boc-4-AP)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2933 39 99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125541-22-2</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N-фенил-N-(пиперидин-4-ил)</w:t>
            </w:r>
            <w:proofErr w:type="spellStart"/>
            <w:r w:rsidRPr="00820139">
              <w:rPr>
                <w:rFonts w:ascii="Times New Roman" w:hAnsi="Times New Roman" w:cs="Times New Roman"/>
              </w:rPr>
              <w:t>пропанамид</w:t>
            </w:r>
            <w:proofErr w:type="spellEnd"/>
            <w:r w:rsidRPr="00820139">
              <w:rPr>
                <w:rFonts w:ascii="Times New Roman" w:hAnsi="Times New Roman" w:cs="Times New Roman"/>
              </w:rPr>
              <w:t xml:space="preserve"> (</w:t>
            </w:r>
            <w:proofErr w:type="spellStart"/>
            <w:r w:rsidRPr="00820139">
              <w:rPr>
                <w:rFonts w:ascii="Times New Roman" w:hAnsi="Times New Roman" w:cs="Times New Roman"/>
              </w:rPr>
              <w:t>норфентанил</w:t>
            </w:r>
            <w:proofErr w:type="spellEnd"/>
            <w:r w:rsidRPr="00820139">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2933 39 99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1609-66-1</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27" w:tooltip="32025R1475: ВКЛЮЧЕНО" w:history="1">
              <w:r w:rsidRPr="00820139">
                <w:rPr>
                  <w:rStyle w:val="Hyperlink"/>
                  <w:rFonts w:ascii="Times New Roman" w:hAnsi="Times New Roman" w:cs="Times New Roman"/>
                  <w:b/>
                  <w:bCs/>
                </w:rPr>
                <w:t>▼M8</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4-пиперидон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Пиперидин-4-он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2933 39 99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41661-47-6</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1-boc-4-пиперидон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терт-бутил</w:t>
            </w:r>
            <w:proofErr w:type="spellEnd"/>
            <w:r w:rsidRPr="00820139">
              <w:rPr>
                <w:rFonts w:ascii="Times New Roman" w:hAnsi="Times New Roman" w:cs="Times New Roman"/>
              </w:rPr>
              <w:t xml:space="preserve"> 4-оксопиперидин-1-карбоксилат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2933 39 99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79099-07-3</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28" w:tooltip="32005R0111" w:history="1">
              <w:r w:rsidRPr="00820139">
                <w:rPr>
                  <w:rStyle w:val="Hyperlink"/>
                  <w:rFonts w:ascii="Times New Roman" w:hAnsi="Times New Roman" w:cs="Times New Roman"/>
                  <w:b/>
                  <w:bCs/>
                </w:rPr>
                <w:t>▼Б</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Ефедрин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2939 41 00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299-42-3</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Псевдоефедрин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2939 42 00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90-82-4</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Норефедрин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hyperlink r:id="rId29" w:tooltip="32013R1259: ЗАМЕНЕН" w:history="1">
              <w:r w:rsidRPr="00820139">
                <w:rPr>
                  <w:rStyle w:val="Hyperlink"/>
                  <w:rFonts w:ascii="Times New Roman" w:hAnsi="Times New Roman" w:cs="Times New Roman"/>
                  <w:b/>
                  <w:bCs/>
                </w:rPr>
                <w:t>►M1</w:t>
              </w:r>
              <w:r w:rsidRPr="00820139">
                <w:rPr>
                  <w:rStyle w:val="Hyperlink"/>
                  <w:rFonts w:ascii="Times New Roman" w:hAnsi="Times New Roman" w:cs="Times New Roman"/>
                </w:rPr>
                <w:t> </w:t>
              </w:r>
            </w:hyperlink>
            <w:r w:rsidRPr="00820139">
              <w:rPr>
                <w:rFonts w:ascii="Times New Roman" w:hAnsi="Times New Roman" w:cs="Times New Roman"/>
              </w:rPr>
              <w:t>  2939 44 00 </w:t>
            </w:r>
            <w:r w:rsidRPr="00820139">
              <w:rPr>
                <w:rFonts w:ascii="Times New Roman" w:hAnsi="Times New Roman" w:cs="Times New Roman"/>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14838-15-4</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Ергометрин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2939 61 00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60-79-7</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Ерготамин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2939 62 00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113-15-5</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Лизергинова</w:t>
            </w:r>
            <w:proofErr w:type="spellEnd"/>
            <w:r w:rsidRPr="00820139">
              <w:rPr>
                <w:rFonts w:ascii="Times New Roman" w:hAnsi="Times New Roman" w:cs="Times New Roman"/>
              </w:rPr>
              <w:t xml:space="preserve"> киселина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2939 63 00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82-58-6</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30" w:tooltip="32016R1443: ВКЛЮЧЕНО" w:history="1">
              <w:r w:rsidRPr="00820139">
                <w:rPr>
                  <w:rStyle w:val="Hyperlink"/>
                  <w:rFonts w:ascii="Times New Roman" w:hAnsi="Times New Roman" w:cs="Times New Roman"/>
                  <w:b/>
                  <w:bCs/>
                </w:rPr>
                <w:t>▼M2</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(1R,2S)-(-)-</w:t>
            </w:r>
            <w:proofErr w:type="spellStart"/>
            <w:r w:rsidRPr="00820139">
              <w:rPr>
                <w:rFonts w:ascii="Times New Roman" w:hAnsi="Times New Roman" w:cs="Times New Roman"/>
              </w:rPr>
              <w:t>хлороефедрин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hyperlink r:id="rId31" w:tooltip="32020R1737: ЗАМЕНЕН" w:history="1">
              <w:r w:rsidRPr="00820139">
                <w:rPr>
                  <w:rStyle w:val="Hyperlink"/>
                  <w:rFonts w:ascii="Times New Roman" w:hAnsi="Times New Roman" w:cs="Times New Roman"/>
                  <w:b/>
                  <w:bCs/>
                </w:rPr>
                <w:t>►M4</w:t>
              </w:r>
              <w:r w:rsidRPr="00820139">
                <w:rPr>
                  <w:rStyle w:val="Hyperlink"/>
                  <w:rFonts w:ascii="Times New Roman" w:hAnsi="Times New Roman" w:cs="Times New Roman"/>
                </w:rPr>
                <w:t> </w:t>
              </w:r>
            </w:hyperlink>
            <w:r w:rsidRPr="00820139">
              <w:rPr>
                <w:rFonts w:ascii="Times New Roman" w:hAnsi="Times New Roman" w:cs="Times New Roman"/>
              </w:rPr>
              <w:t>  2939 79 90 </w:t>
            </w:r>
            <w:r w:rsidRPr="00820139">
              <w:rPr>
                <w:rFonts w:ascii="Times New Roman" w:hAnsi="Times New Roman" w:cs="Times New Roman"/>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110925-64-9</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(1S,2R)-(+)-</w:t>
            </w:r>
            <w:proofErr w:type="spellStart"/>
            <w:r w:rsidRPr="00820139">
              <w:rPr>
                <w:rFonts w:ascii="Times New Roman" w:hAnsi="Times New Roman" w:cs="Times New Roman"/>
              </w:rPr>
              <w:t>хлороефедрин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hyperlink r:id="rId32" w:tooltip="32020R1737: ЗАМЕНЕН" w:history="1">
              <w:r w:rsidRPr="00820139">
                <w:rPr>
                  <w:rStyle w:val="Hyperlink"/>
                  <w:rFonts w:ascii="Times New Roman" w:hAnsi="Times New Roman" w:cs="Times New Roman"/>
                  <w:b/>
                  <w:bCs/>
                </w:rPr>
                <w:t>►M4</w:t>
              </w:r>
              <w:r w:rsidRPr="00820139">
                <w:rPr>
                  <w:rStyle w:val="Hyperlink"/>
                  <w:rFonts w:ascii="Times New Roman" w:hAnsi="Times New Roman" w:cs="Times New Roman"/>
                </w:rPr>
                <w:t> </w:t>
              </w:r>
            </w:hyperlink>
            <w:r w:rsidRPr="00820139">
              <w:rPr>
                <w:rFonts w:ascii="Times New Roman" w:hAnsi="Times New Roman" w:cs="Times New Roman"/>
              </w:rPr>
              <w:t>  2939 79 90 </w:t>
            </w:r>
            <w:r w:rsidRPr="00820139">
              <w:rPr>
                <w:rFonts w:ascii="Times New Roman" w:hAnsi="Times New Roman" w:cs="Times New Roman"/>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1384199-95-4</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(1S,2S)-(+)-</w:t>
            </w:r>
            <w:proofErr w:type="spellStart"/>
            <w:r w:rsidRPr="00820139">
              <w:rPr>
                <w:rFonts w:ascii="Times New Roman" w:hAnsi="Times New Roman" w:cs="Times New Roman"/>
              </w:rPr>
              <w:t>хлоропсевдоефедрин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hyperlink r:id="rId33" w:tooltip="32020R1737: ЗАМЕНЕН" w:history="1">
              <w:r w:rsidRPr="00820139">
                <w:rPr>
                  <w:rStyle w:val="Hyperlink"/>
                  <w:rFonts w:ascii="Times New Roman" w:hAnsi="Times New Roman" w:cs="Times New Roman"/>
                  <w:b/>
                  <w:bCs/>
                </w:rPr>
                <w:t>►M4</w:t>
              </w:r>
              <w:r w:rsidRPr="00820139">
                <w:rPr>
                  <w:rStyle w:val="Hyperlink"/>
                  <w:rFonts w:ascii="Times New Roman" w:hAnsi="Times New Roman" w:cs="Times New Roman"/>
                </w:rPr>
                <w:t> </w:t>
              </w:r>
            </w:hyperlink>
            <w:r w:rsidRPr="00820139">
              <w:rPr>
                <w:rFonts w:ascii="Times New Roman" w:hAnsi="Times New Roman" w:cs="Times New Roman"/>
              </w:rPr>
              <w:t>  2939 79 90 </w:t>
            </w:r>
            <w:r w:rsidRPr="00820139">
              <w:rPr>
                <w:rFonts w:ascii="Times New Roman" w:hAnsi="Times New Roman" w:cs="Times New Roman"/>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73393-61-0</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(1R,2R)-(-)-</w:t>
            </w:r>
            <w:proofErr w:type="spellStart"/>
            <w:r w:rsidRPr="00820139">
              <w:rPr>
                <w:rFonts w:ascii="Times New Roman" w:hAnsi="Times New Roman" w:cs="Times New Roman"/>
              </w:rPr>
              <w:t>хлоропсевдоефедрин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hyperlink r:id="rId34" w:tooltip="32020R1737: ЗАМЕНЕН" w:history="1">
              <w:r w:rsidRPr="00820139">
                <w:rPr>
                  <w:rStyle w:val="Hyperlink"/>
                  <w:rFonts w:ascii="Times New Roman" w:hAnsi="Times New Roman" w:cs="Times New Roman"/>
                  <w:b/>
                  <w:bCs/>
                </w:rPr>
                <w:t>►M4</w:t>
              </w:r>
              <w:r w:rsidRPr="00820139">
                <w:rPr>
                  <w:rStyle w:val="Hyperlink"/>
                  <w:rFonts w:ascii="Times New Roman" w:hAnsi="Times New Roman" w:cs="Times New Roman"/>
                </w:rPr>
                <w:t> </w:t>
              </w:r>
            </w:hyperlink>
            <w:r w:rsidRPr="00820139">
              <w:rPr>
                <w:rFonts w:ascii="Times New Roman" w:hAnsi="Times New Roman" w:cs="Times New Roman"/>
              </w:rPr>
              <w:t>  2939 79 90 </w:t>
            </w:r>
            <w:r w:rsidRPr="00820139">
              <w:rPr>
                <w:rFonts w:ascii="Times New Roman" w:hAnsi="Times New Roman" w:cs="Times New Roman"/>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771434-80-1</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35" w:tooltip="32005R0111" w:history="1">
              <w:r w:rsidRPr="00820139">
                <w:rPr>
                  <w:rStyle w:val="Hyperlink"/>
                  <w:rFonts w:ascii="Times New Roman" w:hAnsi="Times New Roman" w:cs="Times New Roman"/>
                  <w:b/>
                  <w:bCs/>
                </w:rPr>
                <w:t>▼Б</w:t>
              </w:r>
            </w:hyperlink>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Стереоизомерните</w:t>
            </w:r>
            <w:proofErr w:type="spellEnd"/>
            <w:r w:rsidRPr="00820139">
              <w:rPr>
                <w:rFonts w:ascii="Times New Roman" w:hAnsi="Times New Roman" w:cs="Times New Roman"/>
              </w:rPr>
              <w:t xml:space="preserve"> форми на веществата, изброени в тази категория, които не са </w:t>
            </w:r>
            <w:proofErr w:type="spellStart"/>
            <w:r w:rsidRPr="00820139">
              <w:rPr>
                <w:rFonts w:ascii="Times New Roman" w:hAnsi="Times New Roman" w:cs="Times New Roman"/>
              </w:rPr>
              <w:t>катин</w:t>
            </w:r>
            <w:proofErr w:type="spellEnd"/>
            <w:r w:rsidRPr="00820139">
              <w:rPr>
                <w:rFonts w:ascii="Times New Roman" w:hAnsi="Times New Roman" w:cs="Times New Roman"/>
              </w:rPr>
              <w:t>  </w:t>
            </w:r>
            <w:hyperlink r:id="rId36" w:anchor="E0011" w:history="1">
              <w:r w:rsidRPr="00820139">
                <w:rPr>
                  <w:rStyle w:val="Hyperlink"/>
                  <w:rFonts w:ascii="Times New Roman" w:hAnsi="Times New Roman" w:cs="Times New Roman"/>
                </w:rPr>
                <w:t>( </w:t>
              </w:r>
              <w:r w:rsidRPr="00820139">
                <w:rPr>
                  <w:rStyle w:val="Hyperlink"/>
                  <w:rFonts w:ascii="Times New Roman" w:hAnsi="Times New Roman" w:cs="Times New Roman"/>
                  <w:vertAlign w:val="superscript"/>
                </w:rPr>
                <w:t>3</w:t>
              </w:r>
              <w:r w:rsidRPr="00820139">
                <w:rPr>
                  <w:rStyle w:val="Hyperlink"/>
                  <w:rFonts w:ascii="Times New Roman" w:hAnsi="Times New Roman" w:cs="Times New Roman"/>
                </w:rPr>
                <w:t> )</w:t>
              </w:r>
            </w:hyperlink>
            <w:r w:rsidRPr="00820139">
              <w:rPr>
                <w:rFonts w:ascii="Times New Roman" w:hAnsi="Times New Roman" w:cs="Times New Roman"/>
              </w:rPr>
              <w:t> , когато съществуването на такива форми е възможно.</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xml:space="preserve">Солите на веществата, изброени в тази категория, когато съществуването на такива соли е възможно и не са солите на </w:t>
            </w:r>
            <w:proofErr w:type="spellStart"/>
            <w:r w:rsidRPr="00820139">
              <w:rPr>
                <w:rFonts w:ascii="Times New Roman" w:hAnsi="Times New Roman" w:cs="Times New Roman"/>
              </w:rPr>
              <w:t>катина</w:t>
            </w:r>
            <w:proofErr w:type="spellEnd"/>
            <w:r w:rsidRPr="00820139">
              <w:rPr>
                <w:rFonts w:ascii="Times New Roman" w:hAnsi="Times New Roman" w:cs="Times New Roman"/>
              </w:rPr>
              <w:t>.</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37" w:tooltip="32005R0111" w:history="1">
              <w:r w:rsidRPr="00820139">
                <w:rPr>
                  <w:rStyle w:val="Hyperlink"/>
                  <w:rFonts w:ascii="Times New Roman" w:hAnsi="Times New Roman" w:cs="Times New Roman"/>
                  <w:b/>
                  <w:bCs/>
                </w:rPr>
                <w:t>▼Б</w:t>
              </w:r>
            </w:hyperlink>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1</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lastRenderedPageBreak/>
              <w:t>ОВ L 290, 28.10.2002 г., стр. 1.</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2</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CAS номерът е „Регистрационният номер на Службата за химични реферати“, който е уникален числов идентификатор, специфичен за всяко вещество и неговата структура. CAS номерът е специфичен за всеки изомер и за всяка сол на всеки изомер. Трябва да се разбира, че CAS номерата за солите на изброените по-горе вещества ще бъдат различни от дадените.</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3</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Също така наричан (+)-</w:t>
            </w:r>
            <w:proofErr w:type="spellStart"/>
            <w:r w:rsidRPr="00820139">
              <w:rPr>
                <w:rFonts w:ascii="Times New Roman" w:hAnsi="Times New Roman" w:cs="Times New Roman"/>
              </w:rPr>
              <w:t>норпсевдоефедрин</w:t>
            </w:r>
            <w:proofErr w:type="spellEnd"/>
            <w:r w:rsidRPr="00820139">
              <w:rPr>
                <w:rFonts w:ascii="Times New Roman" w:hAnsi="Times New Roman" w:cs="Times New Roman"/>
              </w:rPr>
              <w:t>, код по КН 2939 43 00, CAS № 492-39-7.</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4</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Известен също като етил 3-оксо-2-фенилбутаноат, според IUPAC (Международният съюз по чиста и приложна химия).</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5</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Известен също като метил 2-(2H-1,3-бензодиоксол-5-ил)-3-оксобутаноат, според IUPAC.</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6</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xml:space="preserve">И неговите етилови, метилови (CAS № 80532-66-7), </w:t>
            </w:r>
            <w:proofErr w:type="spellStart"/>
            <w:r w:rsidRPr="00820139">
              <w:rPr>
                <w:rFonts w:ascii="Times New Roman" w:hAnsi="Times New Roman" w:cs="Times New Roman"/>
              </w:rPr>
              <w:t>пропилови</w:t>
            </w:r>
            <w:proofErr w:type="spellEnd"/>
            <w:r w:rsidRPr="00820139">
              <w:rPr>
                <w:rFonts w:ascii="Times New Roman" w:hAnsi="Times New Roman" w:cs="Times New Roman"/>
              </w:rPr>
              <w:t xml:space="preserve">, </w:t>
            </w:r>
            <w:proofErr w:type="spellStart"/>
            <w:r w:rsidRPr="00820139">
              <w:rPr>
                <w:rFonts w:ascii="Times New Roman" w:hAnsi="Times New Roman" w:cs="Times New Roman"/>
              </w:rPr>
              <w:t>изопропилови</w:t>
            </w:r>
            <w:proofErr w:type="spellEnd"/>
            <w:r w:rsidRPr="00820139">
              <w:rPr>
                <w:rFonts w:ascii="Times New Roman" w:hAnsi="Times New Roman" w:cs="Times New Roman"/>
              </w:rPr>
              <w:t xml:space="preserve">, </w:t>
            </w:r>
            <w:proofErr w:type="spellStart"/>
            <w:r w:rsidRPr="00820139">
              <w:rPr>
                <w:rFonts w:ascii="Times New Roman" w:hAnsi="Times New Roman" w:cs="Times New Roman"/>
              </w:rPr>
              <w:t>бутилови</w:t>
            </w:r>
            <w:proofErr w:type="spellEnd"/>
            <w:r w:rsidRPr="00820139">
              <w:rPr>
                <w:rFonts w:ascii="Times New Roman" w:hAnsi="Times New Roman" w:cs="Times New Roman"/>
              </w:rPr>
              <w:t xml:space="preserve">, </w:t>
            </w:r>
            <w:proofErr w:type="spellStart"/>
            <w:r w:rsidRPr="00820139">
              <w:rPr>
                <w:rFonts w:ascii="Times New Roman" w:hAnsi="Times New Roman" w:cs="Times New Roman"/>
              </w:rPr>
              <w:t>изобутилови</w:t>
            </w:r>
            <w:proofErr w:type="spellEnd"/>
            <w:r w:rsidRPr="00820139">
              <w:rPr>
                <w:rFonts w:ascii="Times New Roman" w:hAnsi="Times New Roman" w:cs="Times New Roman"/>
              </w:rPr>
              <w:t>, втор-</w:t>
            </w:r>
            <w:proofErr w:type="spellStart"/>
            <w:r w:rsidRPr="00820139">
              <w:rPr>
                <w:rFonts w:ascii="Times New Roman" w:hAnsi="Times New Roman" w:cs="Times New Roman"/>
              </w:rPr>
              <w:t>бутилови</w:t>
            </w:r>
            <w:proofErr w:type="spellEnd"/>
            <w:r w:rsidRPr="00820139">
              <w:rPr>
                <w:rFonts w:ascii="Times New Roman" w:hAnsi="Times New Roman" w:cs="Times New Roman"/>
              </w:rPr>
              <w:t xml:space="preserve"> и </w:t>
            </w:r>
            <w:proofErr w:type="spellStart"/>
            <w:r w:rsidRPr="00820139">
              <w:rPr>
                <w:rFonts w:ascii="Times New Roman" w:hAnsi="Times New Roman" w:cs="Times New Roman"/>
              </w:rPr>
              <w:t>терт-бутилови</w:t>
            </w:r>
            <w:proofErr w:type="spellEnd"/>
            <w:r w:rsidRPr="00820139">
              <w:rPr>
                <w:rFonts w:ascii="Times New Roman" w:hAnsi="Times New Roman" w:cs="Times New Roman"/>
              </w:rPr>
              <w:t xml:space="preserve"> естери, със същия код по КН като </w:t>
            </w:r>
            <w:proofErr w:type="spellStart"/>
            <w:r w:rsidRPr="00820139">
              <w:rPr>
                <w:rFonts w:ascii="Times New Roman" w:hAnsi="Times New Roman" w:cs="Times New Roman"/>
              </w:rPr>
              <w:t>глицидната</w:t>
            </w:r>
            <w:proofErr w:type="spellEnd"/>
            <w:r w:rsidRPr="00820139">
              <w:rPr>
                <w:rFonts w:ascii="Times New Roman" w:hAnsi="Times New Roman" w:cs="Times New Roman"/>
              </w:rPr>
              <w:t xml:space="preserve"> киселина BMK.</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7</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xml:space="preserve">И неговите етилови (CAS № 28578-16-7), метилови (CAS № 13605-48-6), </w:t>
            </w:r>
            <w:proofErr w:type="spellStart"/>
            <w:r w:rsidRPr="00820139">
              <w:rPr>
                <w:rFonts w:ascii="Times New Roman" w:hAnsi="Times New Roman" w:cs="Times New Roman"/>
              </w:rPr>
              <w:t>пропилови</w:t>
            </w:r>
            <w:proofErr w:type="spellEnd"/>
            <w:r w:rsidRPr="00820139">
              <w:rPr>
                <w:rFonts w:ascii="Times New Roman" w:hAnsi="Times New Roman" w:cs="Times New Roman"/>
              </w:rPr>
              <w:t xml:space="preserve">, </w:t>
            </w:r>
            <w:proofErr w:type="spellStart"/>
            <w:r w:rsidRPr="00820139">
              <w:rPr>
                <w:rFonts w:ascii="Times New Roman" w:hAnsi="Times New Roman" w:cs="Times New Roman"/>
              </w:rPr>
              <w:t>изопропилови</w:t>
            </w:r>
            <w:proofErr w:type="spellEnd"/>
            <w:r w:rsidRPr="00820139">
              <w:rPr>
                <w:rFonts w:ascii="Times New Roman" w:hAnsi="Times New Roman" w:cs="Times New Roman"/>
              </w:rPr>
              <w:t xml:space="preserve">, </w:t>
            </w:r>
            <w:proofErr w:type="spellStart"/>
            <w:r w:rsidRPr="00820139">
              <w:rPr>
                <w:rFonts w:ascii="Times New Roman" w:hAnsi="Times New Roman" w:cs="Times New Roman"/>
              </w:rPr>
              <w:t>бутилови</w:t>
            </w:r>
            <w:proofErr w:type="spellEnd"/>
            <w:r w:rsidRPr="00820139">
              <w:rPr>
                <w:rFonts w:ascii="Times New Roman" w:hAnsi="Times New Roman" w:cs="Times New Roman"/>
              </w:rPr>
              <w:t xml:space="preserve">, </w:t>
            </w:r>
            <w:proofErr w:type="spellStart"/>
            <w:r w:rsidRPr="00820139">
              <w:rPr>
                <w:rFonts w:ascii="Times New Roman" w:hAnsi="Times New Roman" w:cs="Times New Roman"/>
              </w:rPr>
              <w:t>изобутилови</w:t>
            </w:r>
            <w:proofErr w:type="spellEnd"/>
            <w:r w:rsidRPr="00820139">
              <w:rPr>
                <w:rFonts w:ascii="Times New Roman" w:hAnsi="Times New Roman" w:cs="Times New Roman"/>
              </w:rPr>
              <w:t>, втор-</w:t>
            </w:r>
            <w:proofErr w:type="spellStart"/>
            <w:r w:rsidRPr="00820139">
              <w:rPr>
                <w:rFonts w:ascii="Times New Roman" w:hAnsi="Times New Roman" w:cs="Times New Roman"/>
              </w:rPr>
              <w:t>бутилови</w:t>
            </w:r>
            <w:proofErr w:type="spellEnd"/>
            <w:r w:rsidRPr="00820139">
              <w:rPr>
                <w:rFonts w:ascii="Times New Roman" w:hAnsi="Times New Roman" w:cs="Times New Roman"/>
              </w:rPr>
              <w:t xml:space="preserve"> и </w:t>
            </w:r>
            <w:proofErr w:type="spellStart"/>
            <w:r w:rsidRPr="00820139">
              <w:rPr>
                <w:rFonts w:ascii="Times New Roman" w:hAnsi="Times New Roman" w:cs="Times New Roman"/>
              </w:rPr>
              <w:t>терт-бутилови</w:t>
            </w:r>
            <w:proofErr w:type="spellEnd"/>
            <w:r w:rsidRPr="00820139">
              <w:rPr>
                <w:rFonts w:ascii="Times New Roman" w:hAnsi="Times New Roman" w:cs="Times New Roman"/>
              </w:rPr>
              <w:t xml:space="preserve"> естери, със същия код по КН като </w:t>
            </w:r>
            <w:proofErr w:type="spellStart"/>
            <w:r w:rsidRPr="00820139">
              <w:rPr>
                <w:rFonts w:ascii="Times New Roman" w:hAnsi="Times New Roman" w:cs="Times New Roman"/>
              </w:rPr>
              <w:t>глицидната</w:t>
            </w:r>
            <w:proofErr w:type="spellEnd"/>
            <w:r w:rsidRPr="00820139">
              <w:rPr>
                <w:rFonts w:ascii="Times New Roman" w:hAnsi="Times New Roman" w:cs="Times New Roman"/>
              </w:rPr>
              <w:t xml:space="preserve"> киселина PMK.</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8</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Известен също като 5-[2-(1,3-бензодиоксол-5-ил)ацетил]–2,2-диметил–1,3-диоксан–4,6-дион, според IUPAC (Международният съюз по чиста и приложна химия).</w:t>
            </w:r>
          </w:p>
        </w:tc>
      </w:tr>
    </w:tbl>
    <w:p w:rsidR="00820139" w:rsidRPr="00820139" w:rsidRDefault="00820139" w:rsidP="00820139">
      <w:pPr>
        <w:jc w:val="both"/>
        <w:rPr>
          <w:rFonts w:ascii="Times New Roman" w:hAnsi="Times New Roman" w:cs="Times New Roman"/>
        </w:rPr>
      </w:pPr>
    </w:p>
    <w:p w:rsidR="00820139" w:rsidRPr="00820139" w:rsidRDefault="00820139" w:rsidP="00820139">
      <w:pPr>
        <w:jc w:val="both"/>
        <w:rPr>
          <w:rFonts w:ascii="Times New Roman" w:hAnsi="Times New Roman" w:cs="Times New Roman"/>
        </w:rPr>
      </w:pPr>
    </w:p>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Категория 2</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68"/>
        <w:gridCol w:w="2105"/>
        <w:gridCol w:w="3089"/>
        <w:gridCol w:w="1694"/>
      </w:tblGrid>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Вещество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Обозначение по КН</w:t>
            </w:r>
          </w:p>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(ако е различно)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Код по КН  </w:t>
            </w:r>
            <w:hyperlink r:id="rId38" w:anchor="E0017" w:history="1">
              <w:r w:rsidRPr="00820139">
                <w:rPr>
                  <w:rStyle w:val="Hyperlink"/>
                  <w:rFonts w:ascii="Times New Roman" w:hAnsi="Times New Roman" w:cs="Times New Roman"/>
                  <w:b/>
                  <w:bCs/>
                </w:rPr>
                <w:t>( </w:t>
              </w:r>
              <w:r w:rsidRPr="00820139">
                <w:rPr>
                  <w:rStyle w:val="Hyperlink"/>
                  <w:rFonts w:ascii="Times New Roman" w:hAnsi="Times New Roman" w:cs="Times New Roman"/>
                  <w:b/>
                  <w:bCs/>
                  <w:vertAlign w:val="superscript"/>
                </w:rPr>
                <w:t>1</w:t>
              </w:r>
              <w:r w:rsidRPr="00820139">
                <w:rPr>
                  <w:rStyle w:val="Hyperlink"/>
                  <w:rFonts w:ascii="Times New Roman" w:hAnsi="Times New Roman" w:cs="Times New Roman"/>
                  <w:b/>
                  <w:bCs/>
                </w:rPr>
                <w:t> )</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CAS номер  </w:t>
            </w:r>
            <w:hyperlink r:id="rId39" w:anchor="E0018" w:history="1">
              <w:r w:rsidRPr="00820139">
                <w:rPr>
                  <w:rStyle w:val="Hyperlink"/>
                  <w:rFonts w:ascii="Times New Roman" w:hAnsi="Times New Roman" w:cs="Times New Roman"/>
                  <w:b/>
                  <w:bCs/>
                </w:rPr>
                <w:t>( </w:t>
              </w:r>
              <w:r w:rsidRPr="00820139">
                <w:rPr>
                  <w:rStyle w:val="Hyperlink"/>
                  <w:rFonts w:ascii="Times New Roman" w:hAnsi="Times New Roman" w:cs="Times New Roman"/>
                  <w:b/>
                  <w:bCs/>
                  <w:vertAlign w:val="superscript"/>
                </w:rPr>
                <w:t>2</w:t>
              </w:r>
              <w:r w:rsidRPr="00820139">
                <w:rPr>
                  <w:rStyle w:val="Hyperlink"/>
                  <w:rFonts w:ascii="Times New Roman" w:hAnsi="Times New Roman" w:cs="Times New Roman"/>
                  <w:b/>
                  <w:bCs/>
                </w:rPr>
                <w:t> )</w:t>
              </w:r>
            </w:hyperlink>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40" w:tooltip="32020R1737: ВКЛЮЧЕНО" w:history="1">
              <w:r w:rsidRPr="00820139">
                <w:rPr>
                  <w:rStyle w:val="Hyperlink"/>
                  <w:rFonts w:ascii="Times New Roman" w:hAnsi="Times New Roman" w:cs="Times New Roman"/>
                  <w:b/>
                  <w:bCs/>
                </w:rPr>
                <w:t>▼M4</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Червен фосфор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hyperlink r:id="rId41" w:tooltip="32024R1331: ЗАМЕНЕН" w:history="1">
              <w:r w:rsidRPr="00820139">
                <w:rPr>
                  <w:rStyle w:val="Hyperlink"/>
                  <w:rFonts w:ascii="Times New Roman" w:hAnsi="Times New Roman" w:cs="Times New Roman"/>
                  <w:b/>
                  <w:bCs/>
                </w:rPr>
                <w:t>►M7</w:t>
              </w:r>
              <w:r w:rsidRPr="00820139">
                <w:rPr>
                  <w:rStyle w:val="Hyperlink"/>
                  <w:rFonts w:ascii="Times New Roman" w:hAnsi="Times New Roman" w:cs="Times New Roman"/>
                </w:rPr>
                <w:t> </w:t>
              </w:r>
            </w:hyperlink>
            <w:r w:rsidRPr="00820139">
              <w:rPr>
                <w:rFonts w:ascii="Times New Roman" w:hAnsi="Times New Roman" w:cs="Times New Roman"/>
              </w:rPr>
              <w:t>  2804 70 10 </w:t>
            </w:r>
            <w:r w:rsidRPr="00820139">
              <w:rPr>
                <w:rFonts w:ascii="Times New Roman" w:hAnsi="Times New Roman" w:cs="Times New Roman"/>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7723-14-0</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b/>
                <w:bCs/>
              </w:rPr>
            </w:pPr>
            <w:hyperlink r:id="rId42" w:tooltip="32005R0111" w:history="1">
              <w:r w:rsidRPr="00820139">
                <w:rPr>
                  <w:rStyle w:val="Hyperlink"/>
                  <w:rFonts w:ascii="Times New Roman" w:hAnsi="Times New Roman" w:cs="Times New Roman"/>
                  <w:b/>
                  <w:bCs/>
                </w:rPr>
                <w:t>▼Б</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Оцетен анхидрид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2915 24 00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108-24-7</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lastRenderedPageBreak/>
              <w:t>Фенилоцетна</w:t>
            </w:r>
            <w:proofErr w:type="spellEnd"/>
            <w:r w:rsidRPr="00820139">
              <w:rPr>
                <w:rFonts w:ascii="Times New Roman" w:hAnsi="Times New Roman" w:cs="Times New Roman"/>
              </w:rPr>
              <w:t xml:space="preserve"> киселина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2916 34 00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103-82-2</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Антранилова</w:t>
            </w:r>
            <w:proofErr w:type="spellEnd"/>
            <w:r w:rsidRPr="00820139">
              <w:rPr>
                <w:rFonts w:ascii="Times New Roman" w:hAnsi="Times New Roman" w:cs="Times New Roman"/>
              </w:rPr>
              <w:t xml:space="preserve"> киселина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hyperlink r:id="rId43" w:tooltip="32020R1737: ЗАМЕНЕН" w:history="1">
              <w:r w:rsidRPr="00820139">
                <w:rPr>
                  <w:rStyle w:val="Hyperlink"/>
                  <w:rFonts w:ascii="Times New Roman" w:hAnsi="Times New Roman" w:cs="Times New Roman"/>
                  <w:b/>
                  <w:bCs/>
                </w:rPr>
                <w:t>►M4</w:t>
              </w:r>
              <w:r w:rsidRPr="00820139">
                <w:rPr>
                  <w:rStyle w:val="Hyperlink"/>
                  <w:rFonts w:ascii="Times New Roman" w:hAnsi="Times New Roman" w:cs="Times New Roman"/>
                </w:rPr>
                <w:t> </w:t>
              </w:r>
            </w:hyperlink>
            <w:r w:rsidRPr="00820139">
              <w:rPr>
                <w:rFonts w:ascii="Times New Roman" w:hAnsi="Times New Roman" w:cs="Times New Roman"/>
              </w:rPr>
              <w:t>   </w:t>
            </w:r>
            <w:hyperlink r:id="rId44" w:tooltip="32020R1737R(03): ЗАМЕНЕН" w:history="1">
              <w:r w:rsidRPr="00820139">
                <w:rPr>
                  <w:rStyle w:val="Hyperlink"/>
                  <w:rFonts w:ascii="Times New Roman" w:hAnsi="Times New Roman" w:cs="Times New Roman"/>
                  <w:b/>
                  <w:bCs/>
                </w:rPr>
                <w:t>►C1</w:t>
              </w:r>
              <w:r w:rsidRPr="00820139">
                <w:rPr>
                  <w:rStyle w:val="Hyperlink"/>
                  <w:rFonts w:ascii="Times New Roman" w:hAnsi="Times New Roman" w:cs="Times New Roman"/>
                </w:rPr>
                <w:t> </w:t>
              </w:r>
            </w:hyperlink>
            <w:r w:rsidRPr="00820139">
              <w:rPr>
                <w:rFonts w:ascii="Times New Roman" w:hAnsi="Times New Roman" w:cs="Times New Roman"/>
              </w:rPr>
              <w:t>  2922 43 00 </w:t>
            </w:r>
            <w:r w:rsidRPr="00820139">
              <w:rPr>
                <w:rFonts w:ascii="Times New Roman" w:hAnsi="Times New Roman" w:cs="Times New Roman"/>
                <w:b/>
                <w:bCs/>
              </w:rPr>
              <w:t> ◄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118-92-3</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Пиперидин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2933 32 00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110-89-4</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Калиев перманганат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2841 61 00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7722-64-7</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Солите на веществата, изброени в тази категория, когато е възможно съществуването на такива соли.</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1</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ОВ L 290, 28.10.2002 г., стр. 1.</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2</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CAS номерът е „Регистрационният номер на Службата за химични реферати“, който е уникален числов идентификатор, специфичен за всяко вещество и неговата структура. CAS номерът е специфичен за всеки изомер и за всяка сол на всеки изомер. Трябва да се разбира, че CAS номерата за солите на изброените по-горе вещества ще бъдат различни от дадените.</w:t>
            </w:r>
          </w:p>
        </w:tc>
      </w:tr>
    </w:tbl>
    <w:p w:rsidR="00820139" w:rsidRPr="00820139" w:rsidRDefault="00820139" w:rsidP="00820139">
      <w:pPr>
        <w:jc w:val="both"/>
        <w:rPr>
          <w:rFonts w:ascii="Times New Roman" w:hAnsi="Times New Roman" w:cs="Times New Roman"/>
        </w:rPr>
      </w:pPr>
    </w:p>
    <w:p w:rsidR="00820139" w:rsidRPr="00820139" w:rsidRDefault="00820139" w:rsidP="00820139">
      <w:pPr>
        <w:jc w:val="both"/>
        <w:rPr>
          <w:rFonts w:ascii="Times New Roman" w:hAnsi="Times New Roman" w:cs="Times New Roman"/>
        </w:rPr>
      </w:pPr>
    </w:p>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Категория 3</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86"/>
        <w:gridCol w:w="2457"/>
        <w:gridCol w:w="2294"/>
        <w:gridCol w:w="1919"/>
      </w:tblGrid>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Вещество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Обозначение по КН</w:t>
            </w:r>
          </w:p>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(ако е различно)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Код по КН  </w:t>
            </w:r>
            <w:hyperlink r:id="rId45" w:anchor="E0019" w:history="1">
              <w:r w:rsidRPr="00820139">
                <w:rPr>
                  <w:rStyle w:val="Hyperlink"/>
                  <w:rFonts w:ascii="Times New Roman" w:hAnsi="Times New Roman" w:cs="Times New Roman"/>
                  <w:b/>
                  <w:bCs/>
                </w:rPr>
                <w:t>( </w:t>
              </w:r>
              <w:r w:rsidRPr="00820139">
                <w:rPr>
                  <w:rStyle w:val="Hyperlink"/>
                  <w:rFonts w:ascii="Times New Roman" w:hAnsi="Times New Roman" w:cs="Times New Roman"/>
                  <w:b/>
                  <w:bCs/>
                  <w:vertAlign w:val="superscript"/>
                </w:rPr>
                <w:t>1</w:t>
              </w:r>
              <w:r w:rsidRPr="00820139">
                <w:rPr>
                  <w:rStyle w:val="Hyperlink"/>
                  <w:rFonts w:ascii="Times New Roman" w:hAnsi="Times New Roman" w:cs="Times New Roman"/>
                  <w:b/>
                  <w:bCs/>
                </w:rPr>
                <w:t> )</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CAS номер  </w:t>
            </w:r>
            <w:hyperlink r:id="rId46" w:anchor="E0020" w:history="1">
              <w:r w:rsidRPr="00820139">
                <w:rPr>
                  <w:rStyle w:val="Hyperlink"/>
                  <w:rFonts w:ascii="Times New Roman" w:hAnsi="Times New Roman" w:cs="Times New Roman"/>
                  <w:b/>
                  <w:bCs/>
                </w:rPr>
                <w:t>( </w:t>
              </w:r>
              <w:r w:rsidRPr="00820139">
                <w:rPr>
                  <w:rStyle w:val="Hyperlink"/>
                  <w:rFonts w:ascii="Times New Roman" w:hAnsi="Times New Roman" w:cs="Times New Roman"/>
                  <w:b/>
                  <w:bCs/>
                  <w:vertAlign w:val="superscript"/>
                </w:rPr>
                <w:t>2</w:t>
              </w:r>
              <w:r w:rsidRPr="00820139">
                <w:rPr>
                  <w:rStyle w:val="Hyperlink"/>
                  <w:rFonts w:ascii="Times New Roman" w:hAnsi="Times New Roman" w:cs="Times New Roman"/>
                  <w:b/>
                  <w:bCs/>
                </w:rPr>
                <w:t> )</w:t>
              </w:r>
            </w:hyperlink>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Солна киселина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Хлороводород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2806 10 00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7647-01-0</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Сярна киселина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hyperlink r:id="rId47" w:tooltip="32020R1737: ЗАМЕНЕН" w:history="1">
              <w:r w:rsidRPr="00820139">
                <w:rPr>
                  <w:rStyle w:val="Hyperlink"/>
                  <w:rFonts w:ascii="Times New Roman" w:hAnsi="Times New Roman" w:cs="Times New Roman"/>
                  <w:b/>
                  <w:bCs/>
                </w:rPr>
                <w:t>►M4</w:t>
              </w:r>
              <w:r w:rsidRPr="00820139">
                <w:rPr>
                  <w:rStyle w:val="Hyperlink"/>
                  <w:rFonts w:ascii="Times New Roman" w:hAnsi="Times New Roman" w:cs="Times New Roman"/>
                </w:rPr>
                <w:t> </w:t>
              </w:r>
            </w:hyperlink>
            <w:r w:rsidRPr="00820139">
              <w:rPr>
                <w:rFonts w:ascii="Times New Roman" w:hAnsi="Times New Roman" w:cs="Times New Roman"/>
              </w:rPr>
              <w:t>  2807 00 00 </w:t>
            </w:r>
            <w:r w:rsidRPr="00820139">
              <w:rPr>
                <w:rFonts w:ascii="Times New Roman" w:hAnsi="Times New Roman" w:cs="Times New Roman"/>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7664-93-9</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Толуен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2902 30 00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108-88-3</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Етилов етер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Диетилов</w:t>
            </w:r>
            <w:proofErr w:type="spellEnd"/>
            <w:r w:rsidRPr="00820139">
              <w:rPr>
                <w:rFonts w:ascii="Times New Roman" w:hAnsi="Times New Roman" w:cs="Times New Roman"/>
              </w:rPr>
              <w:t xml:space="preserve"> етер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2909 11 00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60-29-7</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Ацетон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2914 11 00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67-64-1</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Метилетилкетон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proofErr w:type="spellStart"/>
            <w:r w:rsidRPr="00820139">
              <w:rPr>
                <w:rFonts w:ascii="Times New Roman" w:hAnsi="Times New Roman" w:cs="Times New Roman"/>
              </w:rPr>
              <w:t>Бутанон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2914 12 00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78-93-3</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Солите на веществата, изброени в тази категория, когато е възможно съществуването на такива соли, и които не са солите на солната киселина и сярната киселина.</w:t>
            </w:r>
          </w:p>
        </w:tc>
      </w:tr>
      <w:tr w:rsidR="00820139" w:rsidRPr="00820139" w:rsidTr="00820139">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1</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ОВ L 290, 28.10.2002 г., стр. 1.</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r w:rsidRPr="00820139">
              <w:rPr>
                <w:rFonts w:ascii="Times New Roman" w:hAnsi="Times New Roman" w:cs="Times New Roman"/>
                <w:vertAlign w:val="superscript"/>
              </w:rPr>
              <w:t>2</w:t>
            </w:r>
            <w:r w:rsidRPr="00820139">
              <w:rPr>
                <w:rFonts w:ascii="Times New Roman" w:hAnsi="Times New Roman" w:cs="Times New Roman"/>
              </w:rPr>
              <w:t> )   </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lastRenderedPageBreak/>
              <w:t>CAS номерът е „Регистрационният номер на Службата за химични реферати“, който е уникален числов идентификатор, специфичен за всяко вещество и неговата структура. CAS номерът е специфичен за всеки изомер и за всяка сол на всеки изомер. Трябва да се разбира, че CAS номерата за солите на изброените по-горе вещества ще бъдат различни от дадените.</w:t>
            </w:r>
          </w:p>
        </w:tc>
      </w:tr>
    </w:tbl>
    <w:p w:rsidR="00820139" w:rsidRPr="00820139" w:rsidRDefault="00820139" w:rsidP="00820139">
      <w:pPr>
        <w:jc w:val="both"/>
        <w:rPr>
          <w:rFonts w:ascii="Times New Roman" w:hAnsi="Times New Roman" w:cs="Times New Roman"/>
          <w:b/>
          <w:bCs/>
        </w:rPr>
      </w:pPr>
      <w:hyperlink r:id="rId48" w:tooltip="32013R1259: ВКЛЮЧЕНО" w:history="1">
        <w:r w:rsidRPr="00820139">
          <w:rPr>
            <w:rStyle w:val="Hyperlink"/>
            <w:rFonts w:ascii="Times New Roman" w:hAnsi="Times New Roman" w:cs="Times New Roman"/>
            <w:b/>
            <w:bCs/>
          </w:rPr>
          <w:t>▼M1</w:t>
        </w:r>
      </w:hyperlink>
    </w:p>
    <w:p w:rsidR="00820139" w:rsidRPr="00820139" w:rsidRDefault="00820139" w:rsidP="00820139">
      <w:pPr>
        <w:jc w:val="both"/>
        <w:rPr>
          <w:rFonts w:ascii="Times New Roman" w:hAnsi="Times New Roman" w:cs="Times New Roman"/>
        </w:rPr>
      </w:pPr>
    </w:p>
    <w:p w:rsidR="00820139" w:rsidRPr="00820139" w:rsidRDefault="00820139" w:rsidP="00820139">
      <w:pPr>
        <w:jc w:val="both"/>
        <w:rPr>
          <w:rFonts w:ascii="Times New Roman" w:hAnsi="Times New Roman" w:cs="Times New Roman"/>
        </w:rPr>
      </w:pPr>
    </w:p>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Категория 4</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11"/>
        <w:gridCol w:w="2657"/>
        <w:gridCol w:w="1488"/>
      </w:tblGrid>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Вещество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Обозначение по КН (ако е различно)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b/>
                <w:bCs/>
              </w:rPr>
            </w:pPr>
            <w:r w:rsidRPr="00820139">
              <w:rPr>
                <w:rFonts w:ascii="Times New Roman" w:hAnsi="Times New Roman" w:cs="Times New Roman"/>
                <w:b/>
                <w:bCs/>
              </w:rPr>
              <w:t>Код по КН</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xml:space="preserve">Лекарствени продукти и ветеринарномедицински продукти, съдържащи </w:t>
            </w:r>
            <w:proofErr w:type="spellStart"/>
            <w:r w:rsidRPr="00820139">
              <w:rPr>
                <w:rFonts w:ascii="Times New Roman" w:hAnsi="Times New Roman" w:cs="Times New Roman"/>
              </w:rPr>
              <w:t>ефедрин</w:t>
            </w:r>
            <w:proofErr w:type="spellEnd"/>
            <w:r w:rsidRPr="00820139">
              <w:rPr>
                <w:rFonts w:ascii="Times New Roman" w:hAnsi="Times New Roman" w:cs="Times New Roman"/>
              </w:rPr>
              <w:t xml:space="preserve"> или неговите соли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xml:space="preserve">Съдържащи </w:t>
            </w:r>
            <w:proofErr w:type="spellStart"/>
            <w:r w:rsidRPr="00820139">
              <w:rPr>
                <w:rFonts w:ascii="Times New Roman" w:hAnsi="Times New Roman" w:cs="Times New Roman"/>
              </w:rPr>
              <w:t>ефедрин</w:t>
            </w:r>
            <w:proofErr w:type="spellEnd"/>
            <w:r w:rsidRPr="00820139">
              <w:rPr>
                <w:rFonts w:ascii="Times New Roman" w:hAnsi="Times New Roman" w:cs="Times New Roman"/>
              </w:rPr>
              <w:t xml:space="preserve"> или неговите соли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hyperlink r:id="rId49" w:tooltip="32020R1737: ЗАМЕНЕН" w:history="1">
              <w:r w:rsidRPr="00820139">
                <w:rPr>
                  <w:rStyle w:val="Hyperlink"/>
                  <w:rFonts w:ascii="Times New Roman" w:hAnsi="Times New Roman" w:cs="Times New Roman"/>
                  <w:b/>
                  <w:bCs/>
                </w:rPr>
                <w:t>►M4</w:t>
              </w:r>
              <w:r w:rsidRPr="00820139">
                <w:rPr>
                  <w:rStyle w:val="Hyperlink"/>
                  <w:rFonts w:ascii="Times New Roman" w:hAnsi="Times New Roman" w:cs="Times New Roman"/>
                </w:rPr>
                <w:t> </w:t>
              </w:r>
            </w:hyperlink>
            <w:r w:rsidRPr="00820139">
              <w:rPr>
                <w:rFonts w:ascii="Times New Roman" w:hAnsi="Times New Roman" w:cs="Times New Roman"/>
              </w:rPr>
              <w:t>  3003 41 00 </w:t>
            </w:r>
            <w:r w:rsidRPr="00820139">
              <w:rPr>
                <w:rFonts w:ascii="Times New Roman" w:hAnsi="Times New Roman" w:cs="Times New Roman"/>
                <w:b/>
                <w:bCs/>
              </w:rPr>
              <w:t> ◄</w:t>
            </w:r>
          </w:p>
          <w:p w:rsidR="00820139" w:rsidRPr="00820139" w:rsidRDefault="00820139" w:rsidP="00820139">
            <w:pPr>
              <w:jc w:val="both"/>
              <w:rPr>
                <w:rFonts w:ascii="Times New Roman" w:hAnsi="Times New Roman" w:cs="Times New Roman"/>
              </w:rPr>
            </w:pPr>
            <w:hyperlink r:id="rId50" w:tooltip="32020R1737: ЗАМЕНЕН" w:history="1">
              <w:r w:rsidRPr="00820139">
                <w:rPr>
                  <w:rStyle w:val="Hyperlink"/>
                  <w:rFonts w:ascii="Times New Roman" w:hAnsi="Times New Roman" w:cs="Times New Roman"/>
                  <w:b/>
                  <w:bCs/>
                </w:rPr>
                <w:t>►M4</w:t>
              </w:r>
              <w:r w:rsidRPr="00820139">
                <w:rPr>
                  <w:rStyle w:val="Hyperlink"/>
                  <w:rFonts w:ascii="Times New Roman" w:hAnsi="Times New Roman" w:cs="Times New Roman"/>
                </w:rPr>
                <w:t> </w:t>
              </w:r>
            </w:hyperlink>
            <w:r w:rsidRPr="00820139">
              <w:rPr>
                <w:rFonts w:ascii="Times New Roman" w:hAnsi="Times New Roman" w:cs="Times New Roman"/>
              </w:rPr>
              <w:t>  3004 41 00 </w:t>
            </w:r>
            <w:r w:rsidRPr="00820139">
              <w:rPr>
                <w:rFonts w:ascii="Times New Roman" w:hAnsi="Times New Roman" w:cs="Times New Roman"/>
                <w:b/>
                <w:bCs/>
              </w:rPr>
              <w:t> ◄</w:t>
            </w:r>
          </w:p>
        </w:tc>
      </w:tr>
      <w:tr w:rsidR="00820139" w:rsidRPr="00820139" w:rsidTr="0082013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xml:space="preserve">Лекарствени продукти и ветеринарномедицински продукти, съдържащи </w:t>
            </w:r>
            <w:proofErr w:type="spellStart"/>
            <w:r w:rsidRPr="00820139">
              <w:rPr>
                <w:rFonts w:ascii="Times New Roman" w:hAnsi="Times New Roman" w:cs="Times New Roman"/>
              </w:rPr>
              <w:t>псевдоефедрин</w:t>
            </w:r>
            <w:proofErr w:type="spellEnd"/>
            <w:r w:rsidRPr="00820139">
              <w:rPr>
                <w:rFonts w:ascii="Times New Roman" w:hAnsi="Times New Roman" w:cs="Times New Roman"/>
              </w:rPr>
              <w:t xml:space="preserve"> или неговите соли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xml:space="preserve">Съдържащи </w:t>
            </w:r>
            <w:proofErr w:type="spellStart"/>
            <w:r w:rsidRPr="00820139">
              <w:rPr>
                <w:rFonts w:ascii="Times New Roman" w:hAnsi="Times New Roman" w:cs="Times New Roman"/>
              </w:rPr>
              <w:t>псевдоефедрин</w:t>
            </w:r>
            <w:proofErr w:type="spellEnd"/>
            <w:r w:rsidRPr="00820139">
              <w:rPr>
                <w:rFonts w:ascii="Times New Roman" w:hAnsi="Times New Roman" w:cs="Times New Roman"/>
              </w:rPr>
              <w:t xml:space="preserve"> (INN) или неговите соли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20139" w:rsidRPr="00820139" w:rsidRDefault="00820139" w:rsidP="00820139">
            <w:pPr>
              <w:jc w:val="both"/>
              <w:rPr>
                <w:rFonts w:ascii="Times New Roman" w:hAnsi="Times New Roman" w:cs="Times New Roman"/>
              </w:rPr>
            </w:pPr>
            <w:hyperlink r:id="rId51" w:tooltip="32020R1737: ЗАМЕНЕН" w:history="1">
              <w:r w:rsidRPr="00820139">
                <w:rPr>
                  <w:rStyle w:val="Hyperlink"/>
                  <w:rFonts w:ascii="Times New Roman" w:hAnsi="Times New Roman" w:cs="Times New Roman"/>
                  <w:b/>
                  <w:bCs/>
                </w:rPr>
                <w:t>►M4</w:t>
              </w:r>
              <w:r w:rsidRPr="00820139">
                <w:rPr>
                  <w:rStyle w:val="Hyperlink"/>
                  <w:rFonts w:ascii="Times New Roman" w:hAnsi="Times New Roman" w:cs="Times New Roman"/>
                </w:rPr>
                <w:t> </w:t>
              </w:r>
            </w:hyperlink>
            <w:r w:rsidRPr="00820139">
              <w:rPr>
                <w:rFonts w:ascii="Times New Roman" w:hAnsi="Times New Roman" w:cs="Times New Roman"/>
              </w:rPr>
              <w:t>  3003 42 00 </w:t>
            </w:r>
            <w:r w:rsidRPr="00820139">
              <w:rPr>
                <w:rFonts w:ascii="Times New Roman" w:hAnsi="Times New Roman" w:cs="Times New Roman"/>
                <w:b/>
                <w:bCs/>
              </w:rPr>
              <w:t> ◄</w:t>
            </w:r>
          </w:p>
          <w:p w:rsidR="00820139" w:rsidRPr="00820139" w:rsidRDefault="00820139" w:rsidP="00820139">
            <w:pPr>
              <w:jc w:val="both"/>
              <w:rPr>
                <w:rFonts w:ascii="Times New Roman" w:hAnsi="Times New Roman" w:cs="Times New Roman"/>
              </w:rPr>
            </w:pPr>
            <w:hyperlink r:id="rId52" w:tooltip="32020R1737: ЗАМЕНЕН" w:history="1">
              <w:r w:rsidRPr="00820139">
                <w:rPr>
                  <w:rStyle w:val="Hyperlink"/>
                  <w:rFonts w:ascii="Times New Roman" w:hAnsi="Times New Roman" w:cs="Times New Roman"/>
                  <w:b/>
                  <w:bCs/>
                </w:rPr>
                <w:t>►M4</w:t>
              </w:r>
              <w:r w:rsidRPr="00820139">
                <w:rPr>
                  <w:rStyle w:val="Hyperlink"/>
                  <w:rFonts w:ascii="Times New Roman" w:hAnsi="Times New Roman" w:cs="Times New Roman"/>
                </w:rPr>
                <w:t> </w:t>
              </w:r>
            </w:hyperlink>
            <w:r w:rsidRPr="00820139">
              <w:rPr>
                <w:rFonts w:ascii="Times New Roman" w:hAnsi="Times New Roman" w:cs="Times New Roman"/>
              </w:rPr>
              <w:t>  3004 42 00 </w:t>
            </w:r>
            <w:r w:rsidRPr="00820139">
              <w:rPr>
                <w:rFonts w:ascii="Times New Roman" w:hAnsi="Times New Roman" w:cs="Times New Roman"/>
                <w:b/>
                <w:bCs/>
              </w:rPr>
              <w:t> ◄</w:t>
            </w:r>
          </w:p>
        </w:tc>
      </w:tr>
    </w:tbl>
    <w:p w:rsidR="00820139" w:rsidRPr="00820139" w:rsidRDefault="00820139" w:rsidP="00820139">
      <w:pPr>
        <w:jc w:val="both"/>
        <w:rPr>
          <w:rFonts w:ascii="Times New Roman" w:hAnsi="Times New Roman" w:cs="Times New Roman"/>
        </w:rPr>
      </w:pP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pict>
          <v:rect id="_x0000_i1025" style="width:127.05pt;height:.75pt" o:hrpct="0" o:hrstd="t" o:hrnoshade="t" o:hr="t" fillcolor="black" stroked="f"/>
        </w:pic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hyperlink r:id="rId53" w:anchor="src.E0001" w:history="1">
        <w:r w:rsidRPr="00820139">
          <w:rPr>
            <w:rStyle w:val="Hyperlink"/>
            <w:rFonts w:ascii="Times New Roman" w:hAnsi="Times New Roman" w:cs="Times New Roman"/>
            <w:vertAlign w:val="superscript"/>
          </w:rPr>
          <w:t>1</w:t>
        </w:r>
      </w:hyperlink>
      <w:r w:rsidRPr="00820139">
        <w:rPr>
          <w:rFonts w:ascii="Times New Roman" w:hAnsi="Times New Roman" w:cs="Times New Roman"/>
        </w:rPr>
        <w:t> ) Директива 2001/83/ЕО на Европейския парламент и на Съвета от 6 ноември 2001 г. относно кодекса на Общността относно лекарствените продукти за хуманна употреба (ОВ L 311, 28.11.2001 г., стр. 67).</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hyperlink r:id="rId54" w:anchor="src.E0002" w:history="1">
        <w:r w:rsidRPr="00820139">
          <w:rPr>
            <w:rStyle w:val="Hyperlink"/>
            <w:rFonts w:ascii="Times New Roman" w:hAnsi="Times New Roman" w:cs="Times New Roman"/>
            <w:vertAlign w:val="superscript"/>
          </w:rPr>
          <w:t>2</w:t>
        </w:r>
      </w:hyperlink>
      <w:r w:rsidRPr="00820139">
        <w:rPr>
          <w:rFonts w:ascii="Times New Roman" w:hAnsi="Times New Roman" w:cs="Times New Roman"/>
        </w:rPr>
        <w:t> ) Директива 2001/82/ЕО на Европейския парламент и на Съвета от 6 ноември 2001 г. относно кодекса на Общността относно ветеринарномедицинските продукти (ОВ L 311, 28.11.2001 г., стр. 1).</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hyperlink r:id="rId55" w:anchor="src.E0003" w:history="1">
        <w:r w:rsidRPr="00820139">
          <w:rPr>
            <w:rStyle w:val="Hyperlink"/>
            <w:rFonts w:ascii="Times New Roman" w:hAnsi="Times New Roman" w:cs="Times New Roman"/>
            <w:vertAlign w:val="superscript"/>
          </w:rPr>
          <w:t>3</w:t>
        </w:r>
      </w:hyperlink>
      <w:r w:rsidRPr="00820139">
        <w:rPr>
          <w:rFonts w:ascii="Times New Roman" w:hAnsi="Times New Roman" w:cs="Times New Roman"/>
        </w:rPr>
        <w:t> ) Регламент (ЕИО) № 2913/92 на Съвета от 12 октомври 1992 г. за създаване на Митнически кодекс на Общността (ОВ L 302, 19.10.1992 г., стр. 1).</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hyperlink r:id="rId56" w:anchor="src.E0004" w:history="1">
        <w:r w:rsidRPr="00820139">
          <w:rPr>
            <w:rStyle w:val="Hyperlink"/>
            <w:rFonts w:ascii="Times New Roman" w:hAnsi="Times New Roman" w:cs="Times New Roman"/>
            <w:vertAlign w:val="superscript"/>
          </w:rPr>
          <w:t>4</w:t>
        </w:r>
      </w:hyperlink>
      <w:r w:rsidRPr="00820139">
        <w:rPr>
          <w:rFonts w:ascii="Times New Roman" w:hAnsi="Times New Roman" w:cs="Times New Roman"/>
        </w:rPr>
        <w:t> ) Регламент (ЕО) № 1907/2006 на Европейския парламент и на Съвета от 18 декември 2006 г. относно регистрацията, оценката, разрешаването и ограничаването на химикали (REACH), за създаване на Европейска агенция по химикалите,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 (ОВ L 396, 30.12.2006 г., стр. 1).</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hyperlink r:id="rId57" w:anchor="src.E0005" w:history="1">
        <w:r w:rsidRPr="00820139">
          <w:rPr>
            <w:rStyle w:val="Hyperlink"/>
            <w:rFonts w:ascii="Times New Roman" w:hAnsi="Times New Roman" w:cs="Times New Roman"/>
            <w:vertAlign w:val="superscript"/>
          </w:rPr>
          <w:t>5</w:t>
        </w:r>
      </w:hyperlink>
      <w:r w:rsidRPr="00820139">
        <w:rPr>
          <w:rFonts w:ascii="Times New Roman" w:hAnsi="Times New Roman" w:cs="Times New Roman"/>
        </w:rPr>
        <w:t xml:space="preserve"> ) Регламент (ЕО) № 273/2004 на Европейския парламент и на Съвета от 11 февруари 2004 г. относно </w:t>
      </w:r>
      <w:proofErr w:type="spellStart"/>
      <w:r w:rsidRPr="00820139">
        <w:rPr>
          <w:rFonts w:ascii="Times New Roman" w:hAnsi="Times New Roman" w:cs="Times New Roman"/>
        </w:rPr>
        <w:t>прекурсорите</w:t>
      </w:r>
      <w:proofErr w:type="spellEnd"/>
      <w:r w:rsidRPr="00820139">
        <w:rPr>
          <w:rFonts w:ascii="Times New Roman" w:hAnsi="Times New Roman" w:cs="Times New Roman"/>
        </w:rPr>
        <w:t xml:space="preserve"> на наркотични вещества (ОВ L 47, 18.2.2004 г., стр. 1).</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hyperlink r:id="rId58" w:anchor="src.E0006" w:history="1">
        <w:r w:rsidRPr="00820139">
          <w:rPr>
            <w:rStyle w:val="Hyperlink"/>
            <w:rFonts w:ascii="Times New Roman" w:hAnsi="Times New Roman" w:cs="Times New Roman"/>
            <w:vertAlign w:val="superscript"/>
          </w:rPr>
          <w:t>6</w:t>
        </w:r>
      </w:hyperlink>
      <w:r w:rsidRPr="00820139">
        <w:rPr>
          <w:rFonts w:ascii="Times New Roman" w:hAnsi="Times New Roman" w:cs="Times New Roman"/>
        </w:rPr>
        <w:t> ) Регламент (ЕС) № 182/2011 на Европейския парламент и на Съвета от 16 февруари 2011 г. за установяване на общите правила и принципи относно механизмите за контрол от страна на държавите членки върху упражняването на изпълнителните правомощия от страна на Комисията (ОВ L 55, 28.2.2011 г., стр. 13).</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lastRenderedPageBreak/>
        <w:t>( </w:t>
      </w:r>
      <w:hyperlink r:id="rId59" w:anchor="src.E0007" w:history="1">
        <w:r w:rsidRPr="00820139">
          <w:rPr>
            <w:rStyle w:val="Hyperlink"/>
            <w:rFonts w:ascii="Times New Roman" w:hAnsi="Times New Roman" w:cs="Times New Roman"/>
            <w:vertAlign w:val="superscript"/>
          </w:rPr>
          <w:t>7</w:t>
        </w:r>
      </w:hyperlink>
      <w:r w:rsidRPr="00820139">
        <w:rPr>
          <w:rFonts w:ascii="Times New Roman" w:hAnsi="Times New Roman" w:cs="Times New Roman"/>
        </w:rPr>
        <w:t> ) Директива 95/46/ЕО на Европейския парламент и на Съвета от 24 октомври 1995 г. относно защитата на физическите лица при обработването на лични данни и за свободното движение на такива данни (ОВ L 281, 23.11.1995 г., стр. 31).</w:t>
      </w:r>
    </w:p>
    <w:p w:rsidR="00820139" w:rsidRPr="00820139" w:rsidRDefault="00820139" w:rsidP="00820139">
      <w:pPr>
        <w:jc w:val="both"/>
        <w:rPr>
          <w:rFonts w:ascii="Times New Roman" w:hAnsi="Times New Roman" w:cs="Times New Roman"/>
        </w:rPr>
      </w:pPr>
      <w:r w:rsidRPr="00820139">
        <w:rPr>
          <w:rFonts w:ascii="Times New Roman" w:hAnsi="Times New Roman" w:cs="Times New Roman"/>
        </w:rPr>
        <w:t>( </w:t>
      </w:r>
      <w:hyperlink r:id="rId60" w:anchor="src.E0008" w:history="1">
        <w:r w:rsidRPr="00820139">
          <w:rPr>
            <w:rStyle w:val="Hyperlink"/>
            <w:rFonts w:ascii="Times New Roman" w:hAnsi="Times New Roman" w:cs="Times New Roman"/>
            <w:vertAlign w:val="superscript"/>
          </w:rPr>
          <w:t>8</w:t>
        </w:r>
      </w:hyperlink>
      <w:r w:rsidRPr="00820139">
        <w:rPr>
          <w:rFonts w:ascii="Times New Roman" w:hAnsi="Times New Roman" w:cs="Times New Roman"/>
        </w:rPr>
        <w:t> ) Регламент (ЕО) № 45/2001 на Европейския парламент и на Съвета от 18 декември 2000 г. относно защитата на физическите лица по отношение на обработката на лични данни от институции и органи на Общността и за свободното движение на такива данни (ОВ L 8, 12.1.2001 г., стр. 1).</w:t>
      </w:r>
    </w:p>
    <w:p w:rsidR="00A60F1E" w:rsidRPr="00700D17" w:rsidRDefault="00700D17" w:rsidP="00700D17">
      <w:pPr>
        <w:jc w:val="both"/>
        <w:rPr>
          <w:rFonts w:ascii="Times New Roman" w:hAnsi="Times New Roman" w:cs="Times New Roman"/>
        </w:rPr>
      </w:pPr>
      <w:r w:rsidRPr="00700D17">
        <w:rPr>
          <w:rFonts w:ascii="Times New Roman" w:hAnsi="Times New Roman" w:cs="Times New Roman"/>
        </w:rPr>
        <w:t>. 1).</w:t>
      </w:r>
    </w:p>
    <w:sectPr w:rsidR="00A60F1E" w:rsidRPr="00700D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17"/>
    <w:rsid w:val="00700D17"/>
    <w:rsid w:val="00820139"/>
    <w:rsid w:val="009054F9"/>
    <w:rsid w:val="009B4CEB"/>
    <w:rsid w:val="00A60F1E"/>
    <w:rsid w:val="00CE34E7"/>
    <w:rsid w:val="00E01C00"/>
    <w:rsid w:val="00E54779"/>
    <w:rsid w:val="00E76BD2"/>
    <w:rsid w:val="00EA5A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B5FD"/>
  <w15:chartTrackingRefBased/>
  <w15:docId w15:val="{F3231A2B-1AE9-49BF-A454-E50EFC7B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1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502167">
      <w:bodyDiv w:val="1"/>
      <w:marLeft w:val="0"/>
      <w:marRight w:val="0"/>
      <w:marTop w:val="0"/>
      <w:marBottom w:val="0"/>
      <w:divBdr>
        <w:top w:val="none" w:sz="0" w:space="0" w:color="auto"/>
        <w:left w:val="none" w:sz="0" w:space="0" w:color="auto"/>
        <w:bottom w:val="none" w:sz="0" w:space="0" w:color="auto"/>
        <w:right w:val="none" w:sz="0" w:space="0" w:color="auto"/>
      </w:divBdr>
      <w:divsChild>
        <w:div w:id="937565825">
          <w:marLeft w:val="0"/>
          <w:marRight w:val="0"/>
          <w:marTop w:val="0"/>
          <w:marBottom w:val="0"/>
          <w:divBdr>
            <w:top w:val="none" w:sz="0" w:space="0" w:color="auto"/>
            <w:left w:val="none" w:sz="0" w:space="0" w:color="auto"/>
            <w:bottom w:val="none" w:sz="0" w:space="0" w:color="auto"/>
            <w:right w:val="none" w:sz="0" w:space="0" w:color="auto"/>
          </w:divBdr>
          <w:divsChild>
            <w:div w:id="720133565">
              <w:marLeft w:val="0"/>
              <w:marRight w:val="0"/>
              <w:marTop w:val="0"/>
              <w:marBottom w:val="0"/>
              <w:divBdr>
                <w:top w:val="none" w:sz="0" w:space="0" w:color="auto"/>
                <w:left w:val="none" w:sz="0" w:space="0" w:color="auto"/>
                <w:bottom w:val="none" w:sz="0" w:space="0" w:color="auto"/>
                <w:right w:val="none" w:sz="0" w:space="0" w:color="auto"/>
              </w:divBdr>
              <w:divsChild>
                <w:div w:id="696472392">
                  <w:marLeft w:val="0"/>
                  <w:marRight w:val="0"/>
                  <w:marTop w:val="0"/>
                  <w:marBottom w:val="0"/>
                  <w:divBdr>
                    <w:top w:val="none" w:sz="0" w:space="0" w:color="auto"/>
                    <w:left w:val="none" w:sz="0" w:space="0" w:color="auto"/>
                    <w:bottom w:val="none" w:sz="0" w:space="0" w:color="auto"/>
                    <w:right w:val="none" w:sz="0" w:space="0" w:color="auto"/>
                  </w:divBdr>
                </w:div>
                <w:div w:id="380984560">
                  <w:marLeft w:val="0"/>
                  <w:marRight w:val="0"/>
                  <w:marTop w:val="0"/>
                  <w:marBottom w:val="0"/>
                  <w:divBdr>
                    <w:top w:val="none" w:sz="0" w:space="0" w:color="auto"/>
                    <w:left w:val="none" w:sz="0" w:space="0" w:color="auto"/>
                    <w:bottom w:val="none" w:sz="0" w:space="0" w:color="auto"/>
                    <w:right w:val="none" w:sz="0" w:space="0" w:color="auto"/>
                  </w:divBdr>
                </w:div>
                <w:div w:id="2044985833">
                  <w:marLeft w:val="0"/>
                  <w:marRight w:val="0"/>
                  <w:marTop w:val="0"/>
                  <w:marBottom w:val="0"/>
                  <w:divBdr>
                    <w:top w:val="none" w:sz="0" w:space="0" w:color="auto"/>
                    <w:left w:val="none" w:sz="0" w:space="0" w:color="auto"/>
                    <w:bottom w:val="none" w:sz="0" w:space="0" w:color="auto"/>
                    <w:right w:val="none" w:sz="0" w:space="0" w:color="auto"/>
                  </w:divBdr>
                </w:div>
                <w:div w:id="1382245666">
                  <w:marLeft w:val="0"/>
                  <w:marRight w:val="0"/>
                  <w:marTop w:val="0"/>
                  <w:marBottom w:val="0"/>
                  <w:divBdr>
                    <w:top w:val="none" w:sz="0" w:space="0" w:color="auto"/>
                    <w:left w:val="none" w:sz="0" w:space="0" w:color="auto"/>
                    <w:bottom w:val="none" w:sz="0" w:space="0" w:color="auto"/>
                    <w:right w:val="none" w:sz="0" w:space="0" w:color="auto"/>
                  </w:divBdr>
                </w:div>
                <w:div w:id="2005162223">
                  <w:marLeft w:val="0"/>
                  <w:marRight w:val="0"/>
                  <w:marTop w:val="0"/>
                  <w:marBottom w:val="0"/>
                  <w:divBdr>
                    <w:top w:val="none" w:sz="0" w:space="0" w:color="auto"/>
                    <w:left w:val="none" w:sz="0" w:space="0" w:color="auto"/>
                    <w:bottom w:val="none" w:sz="0" w:space="0" w:color="auto"/>
                    <w:right w:val="none" w:sz="0" w:space="0" w:color="auto"/>
                  </w:divBdr>
                </w:div>
                <w:div w:id="1541430355">
                  <w:marLeft w:val="0"/>
                  <w:marRight w:val="0"/>
                  <w:marTop w:val="0"/>
                  <w:marBottom w:val="0"/>
                  <w:divBdr>
                    <w:top w:val="none" w:sz="0" w:space="0" w:color="auto"/>
                    <w:left w:val="none" w:sz="0" w:space="0" w:color="auto"/>
                    <w:bottom w:val="none" w:sz="0" w:space="0" w:color="auto"/>
                    <w:right w:val="none" w:sz="0" w:space="0" w:color="auto"/>
                  </w:divBdr>
                </w:div>
                <w:div w:id="316494616">
                  <w:marLeft w:val="0"/>
                  <w:marRight w:val="0"/>
                  <w:marTop w:val="0"/>
                  <w:marBottom w:val="0"/>
                  <w:divBdr>
                    <w:top w:val="none" w:sz="0" w:space="0" w:color="auto"/>
                    <w:left w:val="none" w:sz="0" w:space="0" w:color="auto"/>
                    <w:bottom w:val="none" w:sz="0" w:space="0" w:color="auto"/>
                    <w:right w:val="none" w:sz="0" w:space="0" w:color="auto"/>
                  </w:divBdr>
                </w:div>
                <w:div w:id="1928952638">
                  <w:marLeft w:val="0"/>
                  <w:marRight w:val="0"/>
                  <w:marTop w:val="0"/>
                  <w:marBottom w:val="0"/>
                  <w:divBdr>
                    <w:top w:val="none" w:sz="0" w:space="0" w:color="auto"/>
                    <w:left w:val="none" w:sz="0" w:space="0" w:color="auto"/>
                    <w:bottom w:val="none" w:sz="0" w:space="0" w:color="auto"/>
                    <w:right w:val="none" w:sz="0" w:space="0" w:color="auto"/>
                  </w:divBdr>
                </w:div>
                <w:div w:id="1205946280">
                  <w:marLeft w:val="0"/>
                  <w:marRight w:val="0"/>
                  <w:marTop w:val="0"/>
                  <w:marBottom w:val="0"/>
                  <w:divBdr>
                    <w:top w:val="none" w:sz="0" w:space="0" w:color="auto"/>
                    <w:left w:val="none" w:sz="0" w:space="0" w:color="auto"/>
                    <w:bottom w:val="none" w:sz="0" w:space="0" w:color="auto"/>
                    <w:right w:val="none" w:sz="0" w:space="0" w:color="auto"/>
                  </w:divBdr>
                </w:div>
                <w:div w:id="205606810">
                  <w:marLeft w:val="0"/>
                  <w:marRight w:val="0"/>
                  <w:marTop w:val="0"/>
                  <w:marBottom w:val="0"/>
                  <w:divBdr>
                    <w:top w:val="none" w:sz="0" w:space="0" w:color="auto"/>
                    <w:left w:val="none" w:sz="0" w:space="0" w:color="auto"/>
                    <w:bottom w:val="none" w:sz="0" w:space="0" w:color="auto"/>
                    <w:right w:val="none" w:sz="0" w:space="0" w:color="auto"/>
                  </w:divBdr>
                </w:div>
                <w:div w:id="1440680197">
                  <w:marLeft w:val="0"/>
                  <w:marRight w:val="0"/>
                  <w:marTop w:val="0"/>
                  <w:marBottom w:val="0"/>
                  <w:divBdr>
                    <w:top w:val="none" w:sz="0" w:space="0" w:color="auto"/>
                    <w:left w:val="none" w:sz="0" w:space="0" w:color="auto"/>
                    <w:bottom w:val="none" w:sz="0" w:space="0" w:color="auto"/>
                    <w:right w:val="none" w:sz="0" w:space="0" w:color="auto"/>
                  </w:divBdr>
                </w:div>
                <w:div w:id="3096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02005R0111-20250814" TargetMode="External"/><Relationship Id="rId18" Type="http://schemas.openxmlformats.org/officeDocument/2006/relationships/hyperlink" Target="https://eur-lex.europa.eu/legal-content/EN/AUTO/?uri=celex:32024R1331" TargetMode="External"/><Relationship Id="rId26" Type="http://schemas.openxmlformats.org/officeDocument/2006/relationships/hyperlink" Target="https://eur-lex.europa.eu/legal-content/EN/AUTO/?uri=celex:32023R0196" TargetMode="External"/><Relationship Id="rId39" Type="http://schemas.openxmlformats.org/officeDocument/2006/relationships/hyperlink" Target="https://eur-lex.europa.eu/legal-content/EN/TXT/?uri=CELEX%3A02005R0111-20250814" TargetMode="External"/><Relationship Id="rId21" Type="http://schemas.openxmlformats.org/officeDocument/2006/relationships/hyperlink" Target="https://eur-lex.europa.eu/legal-content/EN/AUTO/?uri=celex:32024R1331" TargetMode="External"/><Relationship Id="rId34" Type="http://schemas.openxmlformats.org/officeDocument/2006/relationships/hyperlink" Target="https://eur-lex.europa.eu/legal-content/EN/AUTO/?uri=celex:32020R1737" TargetMode="External"/><Relationship Id="rId42" Type="http://schemas.openxmlformats.org/officeDocument/2006/relationships/hyperlink" Target="https://eur-lex.europa.eu/legal-content/EN/AUTO/?uri=celex:32005R0111" TargetMode="External"/><Relationship Id="rId47" Type="http://schemas.openxmlformats.org/officeDocument/2006/relationships/hyperlink" Target="https://eur-lex.europa.eu/legal-content/EN/AUTO/?uri=celex:32020R1737" TargetMode="External"/><Relationship Id="rId50" Type="http://schemas.openxmlformats.org/officeDocument/2006/relationships/hyperlink" Target="https://eur-lex.europa.eu/legal-content/EN/AUTO/?uri=celex:32020R1737" TargetMode="External"/><Relationship Id="rId55" Type="http://schemas.openxmlformats.org/officeDocument/2006/relationships/hyperlink" Target="https://eur-lex.europa.eu/legal-content/EN/TXT/?uri=CELEX%3A02005R0111-20250814" TargetMode="External"/><Relationship Id="rId7" Type="http://schemas.openxmlformats.org/officeDocument/2006/relationships/hyperlink" Target="https://eur-lex.europa.eu/legal-content/EN/AUTO/?uri=celex:32023R0196" TargetMode="External"/><Relationship Id="rId2" Type="http://schemas.openxmlformats.org/officeDocument/2006/relationships/settings" Target="settings.xml"/><Relationship Id="rId16" Type="http://schemas.openxmlformats.org/officeDocument/2006/relationships/hyperlink" Target="https://eur-lex.europa.eu/legal-content/EN/AUTO/?uri=celex:32020R1737" TargetMode="External"/><Relationship Id="rId20" Type="http://schemas.openxmlformats.org/officeDocument/2006/relationships/hyperlink" Target="https://eur-lex.europa.eu/legal-content/EN/TXT/?uri=CELEX%3A02005R0111-20250814" TargetMode="External"/><Relationship Id="rId29" Type="http://schemas.openxmlformats.org/officeDocument/2006/relationships/hyperlink" Target="https://eur-lex.europa.eu/legal-content/EN/AUTO/?uri=celex:32013R1259" TargetMode="External"/><Relationship Id="rId41" Type="http://schemas.openxmlformats.org/officeDocument/2006/relationships/hyperlink" Target="https://eur-lex.europa.eu/legal-content/EN/AUTO/?uri=celex:32024R1331" TargetMode="External"/><Relationship Id="rId54" Type="http://schemas.openxmlformats.org/officeDocument/2006/relationships/hyperlink" Target="https://eur-lex.europa.eu/legal-content/EN/TXT/?uri=CELEX%3A02005R0111-20250814"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lex.europa.eu/legal-content/EN/TXT/?uri=CELEX%3A02005R0111-20250814" TargetMode="External"/><Relationship Id="rId11" Type="http://schemas.openxmlformats.org/officeDocument/2006/relationships/hyperlink" Target="https://eur-lex.europa.eu/legal-content/EN/AUTO/?uri=celex:32024R1331" TargetMode="External"/><Relationship Id="rId24" Type="http://schemas.openxmlformats.org/officeDocument/2006/relationships/hyperlink" Target="https://eur-lex.europa.eu/legal-content/EN/TXT/?uri=CELEX%3A02005R0111-20250814" TargetMode="External"/><Relationship Id="rId32" Type="http://schemas.openxmlformats.org/officeDocument/2006/relationships/hyperlink" Target="https://eur-lex.europa.eu/legal-content/EN/AUTO/?uri=celex:32020R1737" TargetMode="External"/><Relationship Id="rId37" Type="http://schemas.openxmlformats.org/officeDocument/2006/relationships/hyperlink" Target="https://eur-lex.europa.eu/legal-content/EN/AUTO/?uri=celex:32005R0111" TargetMode="External"/><Relationship Id="rId40" Type="http://schemas.openxmlformats.org/officeDocument/2006/relationships/hyperlink" Target="https://eur-lex.europa.eu/legal-content/EN/AUTO/?uri=celex:32020R1737" TargetMode="External"/><Relationship Id="rId45" Type="http://schemas.openxmlformats.org/officeDocument/2006/relationships/hyperlink" Target="https://eur-lex.europa.eu/legal-content/EN/TXT/?uri=CELEX%3A02005R0111-20250814" TargetMode="External"/><Relationship Id="rId53" Type="http://schemas.openxmlformats.org/officeDocument/2006/relationships/hyperlink" Target="https://eur-lex.europa.eu/legal-content/EN/TXT/?uri=CELEX%3A02005R0111-20250814" TargetMode="External"/><Relationship Id="rId58" Type="http://schemas.openxmlformats.org/officeDocument/2006/relationships/hyperlink" Target="https://eur-lex.europa.eu/legal-content/EN/TXT/?uri=CELEX%3A02005R0111-20250814" TargetMode="External"/><Relationship Id="rId5" Type="http://schemas.openxmlformats.org/officeDocument/2006/relationships/hyperlink" Target="https://eur-lex.europa.eu/legal-content/EN/TXT/?uri=CELEX%3A02005R0111-20250814" TargetMode="External"/><Relationship Id="rId15" Type="http://schemas.openxmlformats.org/officeDocument/2006/relationships/hyperlink" Target="https://eur-lex.europa.eu/legal-content/EN/AUTO/?uri=celex:32020R1737" TargetMode="External"/><Relationship Id="rId23" Type="http://schemas.openxmlformats.org/officeDocument/2006/relationships/hyperlink" Target="https://eur-lex.europa.eu/legal-content/EN/AUTO/?uri=celex:32024R1331" TargetMode="External"/><Relationship Id="rId28" Type="http://schemas.openxmlformats.org/officeDocument/2006/relationships/hyperlink" Target="https://eur-lex.europa.eu/legal-content/EN/AUTO/?uri=celex:32005R0111" TargetMode="External"/><Relationship Id="rId36" Type="http://schemas.openxmlformats.org/officeDocument/2006/relationships/hyperlink" Target="https://eur-lex.europa.eu/legal-content/EN/TXT/?uri=CELEX%3A02005R0111-20250814" TargetMode="External"/><Relationship Id="rId49" Type="http://schemas.openxmlformats.org/officeDocument/2006/relationships/hyperlink" Target="https://eur-lex.europa.eu/legal-content/EN/AUTO/?uri=celex:32020R1737" TargetMode="External"/><Relationship Id="rId57" Type="http://schemas.openxmlformats.org/officeDocument/2006/relationships/hyperlink" Target="https://eur-lex.europa.eu/legal-content/EN/TXT/?uri=CELEX%3A02005R0111-20250814" TargetMode="External"/><Relationship Id="rId61" Type="http://schemas.openxmlformats.org/officeDocument/2006/relationships/fontTable" Target="fontTable.xml"/><Relationship Id="rId10" Type="http://schemas.openxmlformats.org/officeDocument/2006/relationships/hyperlink" Target="https://eur-lex.europa.eu/legal-content/EN/TXT/?uri=CELEX%3A02005R0111-20250814" TargetMode="External"/><Relationship Id="rId19" Type="http://schemas.openxmlformats.org/officeDocument/2006/relationships/hyperlink" Target="https://eur-lex.europa.eu/legal-content/EN/AUTO/?uri=celex:32022R1518" TargetMode="External"/><Relationship Id="rId31" Type="http://schemas.openxmlformats.org/officeDocument/2006/relationships/hyperlink" Target="https://eur-lex.europa.eu/legal-content/EN/AUTO/?uri=celex:32020R1737" TargetMode="External"/><Relationship Id="rId44" Type="http://schemas.openxmlformats.org/officeDocument/2006/relationships/hyperlink" Target="https://eur-lex.europa.eu/legal-content/EN/AUTO/?uri=celex:32020R1737R%2803%29" TargetMode="External"/><Relationship Id="rId52" Type="http://schemas.openxmlformats.org/officeDocument/2006/relationships/hyperlink" Target="https://eur-lex.europa.eu/legal-content/EN/AUTO/?uri=celex:32020R1737" TargetMode="External"/><Relationship Id="rId60" Type="http://schemas.openxmlformats.org/officeDocument/2006/relationships/hyperlink" Target="https://eur-lex.europa.eu/legal-content/EN/TXT/?uri=CELEX%3A02005R0111-20250814" TargetMode="External"/><Relationship Id="rId4" Type="http://schemas.openxmlformats.org/officeDocument/2006/relationships/hyperlink" Target="https://eur-lex.europa.eu/legal-content/EN/AUTO/?uri=celex:32005R0111" TargetMode="External"/><Relationship Id="rId9" Type="http://schemas.openxmlformats.org/officeDocument/2006/relationships/hyperlink" Target="https://eur-lex.europa.eu/legal-content/EN/AUTO/?uri=celex:32022R1518" TargetMode="External"/><Relationship Id="rId14" Type="http://schemas.openxmlformats.org/officeDocument/2006/relationships/hyperlink" Target="https://eur-lex.europa.eu/legal-content/EN/AUTO/?uri=celex:32005R0111" TargetMode="External"/><Relationship Id="rId22" Type="http://schemas.openxmlformats.org/officeDocument/2006/relationships/hyperlink" Target="https://eur-lex.europa.eu/legal-content/EN/TXT/?uri=CELEX%3A02005R0111-20250814" TargetMode="External"/><Relationship Id="rId27" Type="http://schemas.openxmlformats.org/officeDocument/2006/relationships/hyperlink" Target="https://eur-lex.europa.eu/legal-content/EN/AUTO/?uri=celex:32025R1475" TargetMode="External"/><Relationship Id="rId30" Type="http://schemas.openxmlformats.org/officeDocument/2006/relationships/hyperlink" Target="https://eur-lex.europa.eu/legal-content/EN/AUTO/?uri=celex:32016R1443" TargetMode="External"/><Relationship Id="rId35" Type="http://schemas.openxmlformats.org/officeDocument/2006/relationships/hyperlink" Target="https://eur-lex.europa.eu/legal-content/EN/AUTO/?uri=celex:32005R0111" TargetMode="External"/><Relationship Id="rId43" Type="http://schemas.openxmlformats.org/officeDocument/2006/relationships/hyperlink" Target="https://eur-lex.europa.eu/legal-content/EN/AUTO/?uri=celex:32020R1737" TargetMode="External"/><Relationship Id="rId48" Type="http://schemas.openxmlformats.org/officeDocument/2006/relationships/hyperlink" Target="https://eur-lex.europa.eu/legal-content/EN/AUTO/?uri=celex:32013R1259" TargetMode="External"/><Relationship Id="rId56" Type="http://schemas.openxmlformats.org/officeDocument/2006/relationships/hyperlink" Target="https://eur-lex.europa.eu/legal-content/EN/TXT/?uri=CELEX%3A02005R0111-20250814" TargetMode="External"/><Relationship Id="rId8" Type="http://schemas.openxmlformats.org/officeDocument/2006/relationships/hyperlink" Target="https://eur-lex.europa.eu/legal-content/EN/AUTO/?uri=celex:32020R1737" TargetMode="External"/><Relationship Id="rId51" Type="http://schemas.openxmlformats.org/officeDocument/2006/relationships/hyperlink" Target="https://eur-lex.europa.eu/legal-content/EN/AUTO/?uri=celex:32020R1737" TargetMode="External"/><Relationship Id="rId3" Type="http://schemas.openxmlformats.org/officeDocument/2006/relationships/webSettings" Target="webSettings.xml"/><Relationship Id="rId12" Type="http://schemas.openxmlformats.org/officeDocument/2006/relationships/hyperlink" Target="https://eur-lex.europa.eu/legal-content/EN/AUTO/?uri=celex:32024R1331" TargetMode="External"/><Relationship Id="rId17" Type="http://schemas.openxmlformats.org/officeDocument/2006/relationships/hyperlink" Target="https://eur-lex.europa.eu/legal-content/EN/AUTO/?uri=celex:32005R0111" TargetMode="External"/><Relationship Id="rId25" Type="http://schemas.openxmlformats.org/officeDocument/2006/relationships/hyperlink" Target="https://eur-lex.europa.eu/legal-content/EN/AUTO/?uri=celex:32023R0196" TargetMode="External"/><Relationship Id="rId33" Type="http://schemas.openxmlformats.org/officeDocument/2006/relationships/hyperlink" Target="https://eur-lex.europa.eu/legal-content/EN/AUTO/?uri=celex:32020R1737" TargetMode="External"/><Relationship Id="rId38" Type="http://schemas.openxmlformats.org/officeDocument/2006/relationships/hyperlink" Target="https://eur-lex.europa.eu/legal-content/EN/TXT/?uri=CELEX%3A02005R0111-20250814" TargetMode="External"/><Relationship Id="rId46" Type="http://schemas.openxmlformats.org/officeDocument/2006/relationships/hyperlink" Target="https://eur-lex.europa.eu/legal-content/EN/TXT/?uri=CELEX%3A02005R0111-20250814" TargetMode="External"/><Relationship Id="rId59" Type="http://schemas.openxmlformats.org/officeDocument/2006/relationships/hyperlink" Target="https://eur-lex.europa.eu/legal-content/EN/TXT/?uri=CELEX%3A02005R0111-20250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27</Pages>
  <Words>7656</Words>
  <Characters>43644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2025-09-24T10:47:00Z</dcterms:created>
  <dcterms:modified xsi:type="dcterms:W3CDTF">2025-09-24T11:08:00Z</dcterms:modified>
</cp:coreProperties>
</file>