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9"/>
        <w:gridCol w:w="2503"/>
      </w:tblGrid>
      <w:tr w:rsidR="00E778E4" w:rsidRPr="00E778E4" w:rsidTr="00E778E4">
        <w:tc>
          <w:tcPr>
            <w:tcW w:w="0" w:type="auto"/>
            <w:shd w:val="clear" w:color="auto" w:fill="FFFFFF"/>
            <w:vAlign w:val="center"/>
            <w:hideMark/>
          </w:tcPr>
          <w:p w:rsidR="00E778E4" w:rsidRPr="00E778E4" w:rsidRDefault="00E778E4" w:rsidP="00E778E4">
            <w:pPr>
              <w:spacing w:before="100" w:beforeAutospacing="1" w:after="100" w:afterAutospacing="1" w:line="312" w:lineRule="atLeas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  <w:t>Официален вестник</w:t>
            </w:r>
            <w:r w:rsidRPr="00E778E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  <w:br/>
              <w:t>на Европейския съюз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778E4" w:rsidRPr="00E778E4" w:rsidRDefault="00E778E4" w:rsidP="00E778E4">
            <w:pPr>
              <w:spacing w:before="120" w:after="12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  <w:t>BG</w:t>
            </w:r>
          </w:p>
          <w:p w:rsidR="00E778E4" w:rsidRPr="00E778E4" w:rsidRDefault="00E778E4" w:rsidP="00E778E4">
            <w:pPr>
              <w:spacing w:before="120" w:after="12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  <w:t>Серия L</w:t>
            </w:r>
          </w:p>
        </w:tc>
      </w:tr>
    </w:tbl>
    <w:p w:rsidR="00E778E4" w:rsidRPr="00E778E4" w:rsidRDefault="00E778E4" w:rsidP="00E778E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78E4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9" style="width:635.2pt;height:.75pt" o:hrpct="0" o:hralign="center" o:hrstd="t" o:hrnoshade="t" o:hr="t" fillcolor="black" stroked="f"/>
        </w:pic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4779"/>
        <w:gridCol w:w="4269"/>
      </w:tblGrid>
      <w:tr w:rsidR="00E778E4" w:rsidRPr="00E778E4" w:rsidTr="00E778E4">
        <w:tc>
          <w:tcPr>
            <w:tcW w:w="0" w:type="auto"/>
            <w:shd w:val="clear" w:color="auto" w:fill="FFFFFF"/>
            <w:vAlign w:val="center"/>
            <w:hideMark/>
          </w:tcPr>
          <w:p w:rsidR="00E778E4" w:rsidRPr="00E778E4" w:rsidRDefault="00E778E4" w:rsidP="00E778E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778E4" w:rsidRPr="00E778E4" w:rsidRDefault="00E778E4" w:rsidP="00E778E4">
            <w:pPr>
              <w:spacing w:before="120" w:after="12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bg-BG"/>
              </w:rPr>
              <w:t>2026/314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778E4" w:rsidRPr="00E778E4" w:rsidRDefault="00E778E4" w:rsidP="00E778E4">
            <w:pPr>
              <w:spacing w:before="120" w:after="120" w:line="312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bg-BG"/>
              </w:rPr>
              <w:t>28.4.2026</w:t>
            </w:r>
          </w:p>
        </w:tc>
      </w:tr>
    </w:tbl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ДЕЛЕГИРАН РЕГЛАМЕНТ (ЕС) 2026/314 НА КОМИСИЯТА</w:t>
      </w:r>
    </w:p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от 9 февруари 2026 година</w:t>
      </w:r>
    </w:p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 xml:space="preserve">за изменение на Регламент (ЕО) № 273/2004 на Европейския парламент и на Съвета и Регламент (ЕО) № 111/2005 на Съвета с цел добавяне на някои </w:t>
      </w:r>
      <w:proofErr w:type="spellStart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прекурсори</w:t>
      </w:r>
      <w:proofErr w:type="spellEnd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 xml:space="preserve"> на синтетичния </w:t>
      </w:r>
      <w:proofErr w:type="spellStart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катинон</w:t>
      </w:r>
      <w:proofErr w:type="spellEnd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 xml:space="preserve"> и </w:t>
      </w:r>
      <w:proofErr w:type="spellStart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амфетамина</w:t>
      </w:r>
      <w:proofErr w:type="spellEnd"/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 xml:space="preserve"> в описа на включените в списък вещества</w:t>
      </w:r>
    </w:p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(текст от значение за ЕИП)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ЕВРОПЕЙСКАТА КОМИСИЯ,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като взе предвид Договора за функционирането на Европейския съюз,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 xml:space="preserve">като взе предвид Регламент (ЕО) № 273/2004 на Европейския парламент и на Съвета от 11 февруари 2004 г. относно </w:t>
      </w:r>
      <w:proofErr w:type="spellStart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прекурсорите</w:t>
      </w:r>
      <w:proofErr w:type="spellEnd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 xml:space="preserve"> на наркотичните вещества </w:t>
      </w:r>
      <w:hyperlink r:id="rId4" w:anchor="ntr1-L_202600314BG.000101-E0001" w:history="1">
        <w:r w:rsidRPr="00E778E4">
          <w:rPr>
            <w:rFonts w:ascii="Times New Roman" w:eastAsia="Times New Roman" w:hAnsi="Times New Roman" w:cs="Times New Roman"/>
            <w:color w:val="0E47CB"/>
            <w:sz w:val="27"/>
            <w:szCs w:val="27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9"/>
            <w:szCs w:val="19"/>
            <w:vertAlign w:val="superscript"/>
            <w:lang w:eastAsia="bg-BG"/>
          </w:rPr>
          <w:t>1</w:t>
        </w:r>
        <w:r w:rsidRPr="00E778E4">
          <w:rPr>
            <w:rFonts w:ascii="Times New Roman" w:eastAsia="Times New Roman" w:hAnsi="Times New Roman" w:cs="Times New Roman"/>
            <w:color w:val="0E47CB"/>
            <w:sz w:val="27"/>
            <w:szCs w:val="27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, и по-специално член 15 от него,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 xml:space="preserve">като взе предвид Регламент (ЕО) № 111/2005 на Съвета от 22 декември 2004 г. за определяне на правила за мониторинг на търговията между Съюза и трети страни в областта на </w:t>
      </w:r>
      <w:proofErr w:type="spellStart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прекурсорите</w:t>
      </w:r>
      <w:proofErr w:type="spellEnd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 </w:t>
      </w:r>
      <w:hyperlink r:id="rId5" w:anchor="ntr2-L_202600314BG.000101-E0002" w:history="1">
        <w:r w:rsidRPr="00E778E4">
          <w:rPr>
            <w:rFonts w:ascii="Times New Roman" w:eastAsia="Times New Roman" w:hAnsi="Times New Roman" w:cs="Times New Roman"/>
            <w:color w:val="0E47CB"/>
            <w:sz w:val="27"/>
            <w:szCs w:val="27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9"/>
            <w:szCs w:val="19"/>
            <w:vertAlign w:val="superscript"/>
            <w:lang w:eastAsia="bg-BG"/>
          </w:rPr>
          <w:t>2</w:t>
        </w:r>
        <w:r w:rsidRPr="00E778E4">
          <w:rPr>
            <w:rFonts w:ascii="Times New Roman" w:eastAsia="Times New Roman" w:hAnsi="Times New Roman" w:cs="Times New Roman"/>
            <w:color w:val="0E47CB"/>
            <w:sz w:val="27"/>
            <w:szCs w:val="27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, и по-специално член 30а от него,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като има предвид, че: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879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(1)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 Регламент (ЕО) № 273/2004 са установени мерки за мониторинг на търговията с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наркотични вещества в рамките на Съюза, а с Регламент (ЕО) № 111/2005 се урежда търговията с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наркотични вещества между Съюза и трети държави. Приложение I към Регламент (ЕО) № 273/2004 и приложението към Регламент (ЕО) № 111/2005 съдържат опис на включените в списък вещества, за които се прилагат редица хармонизирани мерки за контрол и мониторинг, предвидени в тези два регламента.</w:t>
            </w:r>
          </w:p>
        </w:tc>
      </w:tr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(2)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Националните компетентни органи посочиха увеличение на случаите на изземване на следните девет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невключени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списък вещества: i) 3′-хлорoпропиофенон; ii) 2-бромо-3′-хлорoпропиофенон; iii) 3′-метилпропиофенон; iv) 2-бромо-3′-метилпропиофенон; v) 4′-метилпропиофенон; vi) 2-бромо-4′-метилпропиофенон; vii) 4′-хлорoпропиофенон; viii) 2-бромо-4′-хлорoпропиофенон и ix) фенил-2-нитропропен.</w:t>
            </w:r>
          </w:p>
        </w:tc>
      </w:tr>
    </w:tbl>
    <w:p w:rsidR="00E778E4" w:rsidRPr="00E778E4" w:rsidRDefault="00E778E4" w:rsidP="00E778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7"/>
          <w:szCs w:val="27"/>
          <w:lang w:eastAsia="bg-B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879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(3)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3′-хлорoпропиофенон и 2-бромо-3′-хлорoпропиофенон са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3-хлорометкатинон или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клофедрон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(3-CMC). 3′-метилпропиофенон и 2-бромо-3′-метилпропиофенон са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3-метилметкатинон (3-MMC). 4′-</w:t>
            </w: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метилпропиофенон и 2-бромо-4′-метилпропиофенон са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мефедрон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(4-метилметкатинон или 4-MMC). 4′-хлорoпропиофенон и 2-бромо-4′-хлорoпропиофенон са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4-CMC (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клефедрон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или 4-хлорометкатинон). Фенил-2-нитропропен е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амфетамина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(4)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3-CMC, 3-MMC, 4-CMC и 4-MMC са стимуланти на основата на синтетичния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катинон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поставени под международен и европейски контрол.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Амфетаминът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също е контролирано наркотично вещество. Тези наркотични вещества могат да породят сериозни рискове за общественото здраве и социални рискове на равнището на Съюза.</w:t>
            </w:r>
          </w:p>
        </w:tc>
      </w:tr>
    </w:tbl>
    <w:p w:rsidR="00E778E4" w:rsidRPr="00E778E4" w:rsidRDefault="00E778E4" w:rsidP="00E778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7"/>
          <w:szCs w:val="27"/>
          <w:lang w:eastAsia="bg-B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879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(5)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Комисията възложи на EUDA да направи оценка на деветте вещества и да предостави информация както за законните, така и за незаконните видове употреба </w:t>
            </w:r>
            <w:hyperlink r:id="rId6" w:anchor="ntr3-L_202600314BG.000101-E0003" w:history="1"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(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17"/>
                  <w:szCs w:val="17"/>
                  <w:vertAlign w:val="superscript"/>
                  <w:lang w:eastAsia="bg-BG"/>
                </w:rPr>
                <w:t>3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)</w:t>
              </w:r>
            </w:hyperlink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Според EUDA деветте вещества може да се използват в незаконното производство на наркотици чрез прости и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мащабируеми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методи, за чието изпълнение са необходими само основно оборудване и минимални технически умения. През последните години в ЕС се увеличиха случаите на изземване на такива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Някои от тях се използват в производството на лекарства, предлагани на пазара на ЕС: 3′-хлоропропиофенон се използва в производството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бупропион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— лекарство, предназначено за лечение на депресия и като помощно средство за спиране на тютюнопушенето. 2-бромо-3′-хлоропропиофенон е междинен продукт в производството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бупропион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4′-метилпропиофенон се използва в производството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толперизон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— мускулен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релаксант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разрешен за лечението на мускулни спазми и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спастичност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причинени от различни състояния. Фенил-2-нитропропен може да се използва в производството на лекарства на основата на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амфетамин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Освен това EUDA потвърждава, че всичките девет засегнати вещества имат законна употреба като референтни стандарти в аналитичните лаборатории.</w:t>
            </w:r>
          </w:p>
        </w:tc>
      </w:tr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(6)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Като се има предвид, че деветте вещества могат лесно да бъдат използвани за производството на незаконни наркотици и че има доказателства за това в Съюза, регламенти (ЕО) № 273/2004 и (ЕО) № 111/2005 следва да бъдат съответно изменени, за да се включат тези девет вещества в описа на включените в списък вещества от категория 1, тъй като те представляват най-голям риск, когато бъдат отклонени към незаконното производство. За да се избегне отклоняването им от законните канали, търговията и употребата на веществата следва да бъдат предмет на най-строги мерки за контрол и мониторинг.</w:t>
            </w:r>
          </w:p>
        </w:tc>
      </w:tr>
    </w:tbl>
    <w:p w:rsidR="00E778E4" w:rsidRPr="00E778E4" w:rsidRDefault="00E778E4" w:rsidP="00E778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7"/>
          <w:szCs w:val="27"/>
          <w:lang w:eastAsia="bg-B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879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(7)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Освен това включването на деветте вещества в списък би подпомогнало националните органи в борбата им срещу незаконното производство на наркотици, тъй като от датата на влизане в сила на настоящия регламент тези вещества следва да се считат за „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 по смисъла на член 1, точка 2 от Рамково Решение 2004/757/ПВР на Съвета </w:t>
            </w:r>
            <w:hyperlink r:id="rId7" w:anchor="ntr4-L_202600314BG.000101-E0004" w:history="1"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(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17"/>
                  <w:szCs w:val="17"/>
                  <w:vertAlign w:val="superscript"/>
                  <w:lang w:eastAsia="bg-BG"/>
                </w:rPr>
                <w:t>4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)</w:t>
              </w:r>
            </w:hyperlink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установяване на минималните разпоредби относно съставните елементи на наказуемите деяния и прилаганите наказания в областта на трафика на наркотици.</w:t>
            </w:r>
          </w:p>
        </w:tc>
      </w:tr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(8)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оглед на гореизложеното Регламент (ЕО) № 273/2004 и Регламент (ЕО) № 111/2005 следва да бъдат съответно изменени.</w:t>
            </w:r>
          </w:p>
        </w:tc>
      </w:tr>
    </w:tbl>
    <w:p w:rsidR="00E778E4" w:rsidRPr="00E778E4" w:rsidRDefault="00E778E4" w:rsidP="00E778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7"/>
          <w:szCs w:val="27"/>
          <w:lang w:eastAsia="bg-B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867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(9)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 регламенти (ЕО) № 273/2004 и (ЕО) № 111/2005 съвместно се прилагат разпоредбите относно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прекурсорите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наркотичните вещества от Конвенцията на Организацията на обединените нации за борба срещу незаконния трафик на упойващи и психотропни вещества, приета във Виена на 19 декември 1988 г. и одобрена от името на Съюза с Решение № 90/611/ЕИО на Съвета </w:t>
            </w:r>
            <w:hyperlink r:id="rId8" w:anchor="ntr5-L_202600314BG.000101-E0005" w:history="1"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(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17"/>
                  <w:szCs w:val="17"/>
                  <w:vertAlign w:val="superscript"/>
                  <w:lang w:eastAsia="bg-BG"/>
                </w:rPr>
                <w:t>5</w:t>
              </w:r>
              <w:r w:rsidRPr="00E778E4">
                <w:rPr>
                  <w:rFonts w:ascii="Times New Roman" w:eastAsia="Times New Roman" w:hAnsi="Times New Roman" w:cs="Times New Roman"/>
                  <w:color w:val="0E47CB"/>
                  <w:sz w:val="24"/>
                  <w:szCs w:val="24"/>
                  <w:u w:val="single"/>
                  <w:lang w:eastAsia="bg-BG"/>
                </w:rPr>
                <w:t>)</w:t>
              </w:r>
            </w:hyperlink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Предвид тясната 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материалноправна</w:t>
            </w:r>
            <w:proofErr w:type="spellEnd"/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връзка между оправомощаванията по тези два регламента е уместно измененията да се приемат само с един делегиран акт.</w:t>
            </w:r>
          </w:p>
        </w:tc>
      </w:tr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(10)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някои от въпросните вещества обаче са установени законни видове употреба в производството на лекарства, а други може да бъдат използвани от някои търговски лаборатории като референтен стандарт. Следователно с деветте вещества се извършва и законна търговия.</w:t>
            </w:r>
          </w:p>
        </w:tc>
      </w:tr>
    </w:tbl>
    <w:p w:rsidR="00E778E4" w:rsidRPr="00E778E4" w:rsidRDefault="00E778E4" w:rsidP="00E778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7"/>
          <w:szCs w:val="27"/>
          <w:lang w:eastAsia="bg-BG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8672"/>
      </w:tblGrid>
      <w:tr w:rsidR="00E778E4" w:rsidRPr="00E778E4" w:rsidTr="00E778E4"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(11)</w:t>
            </w:r>
          </w:p>
        </w:tc>
        <w:tc>
          <w:tcPr>
            <w:tcW w:w="0" w:type="auto"/>
            <w:shd w:val="clear" w:color="auto" w:fill="auto"/>
            <w:hideMark/>
          </w:tcPr>
          <w:p w:rsidR="00E778E4" w:rsidRPr="00E778E4" w:rsidRDefault="00E778E4" w:rsidP="00E778E4">
            <w:pPr>
              <w:spacing w:before="120" w:after="0"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Поради това прилагането на настоящия регламент следва да бъде отложено, за да се даде достатъчно време на икономическите оператори да се съобразят с процедурите, предвидени в регламенти (ЕО) № 273/2004 и (ЕО) № 111/2005, и по-специално да се сдобият с разрешения за внос или износ и съответните лицензи,</w:t>
            </w:r>
          </w:p>
        </w:tc>
      </w:tr>
    </w:tbl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ПРИЕ НАСТОЯЩИЯ РЕГЛАМЕНТ:</w:t>
      </w:r>
    </w:p>
    <w:p w:rsidR="00E778E4" w:rsidRPr="00E778E4" w:rsidRDefault="00E778E4" w:rsidP="00E778E4">
      <w:pPr>
        <w:shd w:val="clear" w:color="auto" w:fill="FFFFFF"/>
        <w:spacing w:before="360" w:after="120" w:line="312" w:lineRule="atLeast"/>
        <w:jc w:val="center"/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Член 1</w:t>
      </w:r>
    </w:p>
    <w:p w:rsidR="00E778E4" w:rsidRPr="00E778E4" w:rsidRDefault="00E778E4" w:rsidP="00E778E4">
      <w:pPr>
        <w:shd w:val="clear" w:color="auto" w:fill="FFFFFF"/>
        <w:spacing w:before="6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Изменения на Регламент (ЕО) № 273/2004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Приложение I към Регламент (ЕО) № 273/2004 се изменя в съответствие с приложение I към настоящия регламент.</w:t>
      </w:r>
    </w:p>
    <w:p w:rsidR="00E778E4" w:rsidRPr="00E778E4" w:rsidRDefault="00E778E4" w:rsidP="00E778E4">
      <w:pPr>
        <w:shd w:val="clear" w:color="auto" w:fill="FFFFFF"/>
        <w:spacing w:before="360" w:after="120" w:line="312" w:lineRule="atLeast"/>
        <w:jc w:val="center"/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Член 2</w:t>
      </w:r>
    </w:p>
    <w:p w:rsidR="00E778E4" w:rsidRPr="00E778E4" w:rsidRDefault="00E778E4" w:rsidP="00E778E4">
      <w:pPr>
        <w:shd w:val="clear" w:color="auto" w:fill="FFFFFF"/>
        <w:spacing w:before="6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Изменения на Регламент (ЕО) № 111/2005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Приложението към Регламент (ЕО) № 111/2005 се изменя в съответствие с приложение II към настоящия регламент.</w:t>
      </w:r>
    </w:p>
    <w:p w:rsidR="00E778E4" w:rsidRPr="00E778E4" w:rsidRDefault="00E778E4" w:rsidP="00E778E4">
      <w:pPr>
        <w:shd w:val="clear" w:color="auto" w:fill="FFFFFF"/>
        <w:spacing w:before="360" w:after="120" w:line="312" w:lineRule="atLeast"/>
        <w:jc w:val="center"/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Член 3</w:t>
      </w:r>
    </w:p>
    <w:p w:rsidR="00E778E4" w:rsidRPr="00E778E4" w:rsidRDefault="00E778E4" w:rsidP="00E778E4">
      <w:pPr>
        <w:shd w:val="clear" w:color="auto" w:fill="FFFFFF"/>
        <w:spacing w:before="6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Влизане в сила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 xml:space="preserve">Настоящият регламент влиза в сила на двадесетия ден след деня на публикуването му в </w:t>
      </w: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Официален вестник на Европейския съюз.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bg-BG"/>
        </w:rPr>
        <w:t>Той се прилага от 18 септември 2026 година</w:t>
      </w: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.</w:t>
      </w:r>
    </w:p>
    <w:p w:rsidR="00E778E4" w:rsidRPr="00E778E4" w:rsidRDefault="00E778E4" w:rsidP="00E778E4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Настоящият регламент е задължителен в своята цялост и се прилага пряко във всички държави членки.</w:t>
      </w:r>
      <w:bookmarkStart w:id="0" w:name="_GoBack"/>
      <w:bookmarkEnd w:id="0"/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Съставено в Брюксел на 9 февруари 2026 година.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За Комисията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>Председател</w:t>
      </w:r>
      <w:r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bg-BG"/>
        </w:rPr>
        <w:t xml:space="preserve"> </w:t>
      </w:r>
      <w:proofErr w:type="spellStart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Ursula</w:t>
      </w:r>
      <w:proofErr w:type="spellEnd"/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 xml:space="preserve"> VON DER LEYEN</w:t>
      </w:r>
    </w:p>
    <w:p w:rsidR="00E778E4" w:rsidRPr="00E778E4" w:rsidRDefault="00E778E4" w:rsidP="00E778E4">
      <w:pPr>
        <w:shd w:val="clear" w:color="auto" w:fill="FFFFFF"/>
        <w:spacing w:before="240" w:after="60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lastRenderedPageBreak/>
        <w:pict>
          <v:rect id="_x0000_i1030" style="width:127.05pt;height:.75pt" o:hrpct="0" o:hrstd="t" o:hrnoshade="t" o:hr="t" fillcolor="black" stroked="f"/>
        </w:pic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hyperlink r:id="rId9" w:anchor="ntc1-L_202600314BG.000101-E0001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5"/>
            <w:szCs w:val="15"/>
            <w:vertAlign w:val="superscript"/>
            <w:lang w:eastAsia="bg-BG"/>
          </w:rPr>
          <w:t>1</w:t>
        </w:r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   </w:t>
      </w:r>
      <w:hyperlink r:id="rId10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ОВ L 47, 18.2.2004 г., стр. 1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, ELI: </w:t>
      </w:r>
      <w:hyperlink r:id="rId11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http://data.europa.eu/eli/reg/2004/273/oj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.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hyperlink r:id="rId12" w:anchor="ntc2-L_202600314BG.000101-E0002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5"/>
            <w:szCs w:val="15"/>
            <w:vertAlign w:val="superscript"/>
            <w:lang w:eastAsia="bg-BG"/>
          </w:rPr>
          <w:t>2</w:t>
        </w:r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   </w:t>
      </w:r>
      <w:hyperlink r:id="rId13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ОВ L 22, 26.1.2005 г., стр. 1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, ELI: </w:t>
      </w:r>
      <w:hyperlink r:id="rId14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http://data.europa.eu/eli/reg/2005/111/oj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.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hyperlink r:id="rId15" w:anchor="ntc3-L_202600314BG.000101-E0003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5"/>
            <w:szCs w:val="15"/>
            <w:vertAlign w:val="superscript"/>
            <w:lang w:eastAsia="bg-BG"/>
          </w:rPr>
          <w:t>3</w:t>
        </w:r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   </w:t>
      </w:r>
      <w:hyperlink r:id="rId16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Заглавна страница на портала на EUDA | www.euda.europa.eu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.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hyperlink r:id="rId17" w:anchor="ntc4-L_202600314BG.000101-E0004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5"/>
            <w:szCs w:val="15"/>
            <w:vertAlign w:val="superscript"/>
            <w:lang w:eastAsia="bg-BG"/>
          </w:rPr>
          <w:t>4</w:t>
        </w:r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  Рамково Решение 2004/757/ПВР на Съвета от 25 октомври 2004 г. за установяване на минималните разпоредби относно съставните елементи на наказуемите деяния и прилаганите наказания в областта на трафика на наркотици (</w:t>
      </w:r>
      <w:hyperlink r:id="rId18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ОВ L 335, 11.11.2004 г., стр. 8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, ELI: </w:t>
      </w:r>
      <w:hyperlink r:id="rId19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http://data.europa.eu/eli/dec_framw/2004/757/oj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).</w:t>
      </w:r>
    </w:p>
    <w:p w:rsidR="00E778E4" w:rsidRPr="00E778E4" w:rsidRDefault="00E778E4" w:rsidP="00E778E4">
      <w:pPr>
        <w:shd w:val="clear" w:color="auto" w:fill="FFFFFF"/>
        <w:spacing w:before="60" w:after="60" w:line="312" w:lineRule="atLeast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hyperlink r:id="rId20" w:anchor="ntc5-L_202600314BG.000101-E0005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(</w:t>
        </w:r>
        <w:r w:rsidRPr="00E778E4">
          <w:rPr>
            <w:rFonts w:ascii="Times New Roman" w:eastAsia="Times New Roman" w:hAnsi="Times New Roman" w:cs="Times New Roman"/>
            <w:color w:val="0E47CB"/>
            <w:sz w:val="15"/>
            <w:szCs w:val="15"/>
            <w:vertAlign w:val="superscript"/>
            <w:lang w:eastAsia="bg-BG"/>
          </w:rPr>
          <w:t>5</w:t>
        </w:r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)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  Решение 90/611/ЕИО на Съвета от 22 октомври 1990 г. относно сключването от името на Европейската икономическа общност на Конвенцията на Организацията на обединените нации за борба срещу незаконния трафик на упойващи и психотропни вещества (</w:t>
      </w:r>
      <w:hyperlink r:id="rId21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ОВ L 326, 24.11.1990 г., стр. 56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 xml:space="preserve">, ELI: </w:t>
      </w:r>
      <w:hyperlink r:id="rId22" w:history="1">
        <w:r w:rsidRPr="00E778E4">
          <w:rPr>
            <w:rFonts w:ascii="Times New Roman" w:eastAsia="Times New Roman" w:hAnsi="Times New Roman" w:cs="Times New Roman"/>
            <w:color w:val="0E47CB"/>
            <w:u w:val="single"/>
            <w:lang w:eastAsia="bg-BG"/>
          </w:rPr>
          <w:t>http://data.europa.eu/eli/dec/1990/611/oj</w:t>
        </w:r>
      </w:hyperlink>
      <w:r w:rsidRPr="00E778E4">
        <w:rPr>
          <w:rFonts w:ascii="Times New Roman" w:eastAsia="Times New Roman" w:hAnsi="Times New Roman" w:cs="Times New Roman"/>
          <w:color w:val="333333"/>
          <w:lang w:eastAsia="bg-BG"/>
        </w:rPr>
        <w:t>).</w:t>
      </w:r>
    </w:p>
    <w:p w:rsidR="00E778E4" w:rsidRPr="00E778E4" w:rsidRDefault="00E778E4" w:rsidP="00E778E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78E4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1" style="width:63.5pt;height:.75pt" o:hrpct="0" o:hralign="center" o:hrstd="t" o:hrnoshade="t" o:hr="t" fillcolor="black" stroked="f"/>
        </w:pict>
      </w:r>
    </w:p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t>ПРИЛОЖЕНИЕ I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В приложение I към Регламент (ЕО) № 273/2004, в описа на включените в списък вещества, в таблицата за категория 1 се вмъкват следните вписвания, в последователност според кода им по КН: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3733"/>
        <w:gridCol w:w="1264"/>
        <w:gridCol w:w="1106"/>
      </w:tblGrid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Вещество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Обозначение по КН (ако е различно)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Код по КН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CAS №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„3’-хлорoпропиофенон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1-(3-хлорофенил)пропан-1-он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34841-35-5“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„2-бромо-3’-хлоропропиофенон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2-бромо-1-(3-хлорофенил)пропан-1-он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34911-51-8“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„4’-метилпропиофенон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1-(4-метилфенил)пропан-1-он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29 143 900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5337-93-9“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„2-бромо-4’-метилпропиофенон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2-бромо-1-(4-метилфенил)пропан-1-он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1451-82-7“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„3’-метилпропиофенон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1-(3-метилфенил)пропан-1-он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29 143 900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51772-30-6“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„2-бромо-3’-метилпропиофенон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2-бромо-1-(3-метилфенил)пропан-1-он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1451-83-8“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„4’-хлорoпропиофенон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1-(4-хлорофенил)пропан-1-он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6285-05-8“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„2-бромо-4’-хлоропропиофенон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2-бромо-1-(4-хлорофенил)пропан-1-он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29 147 900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877-37-2“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„Фенил-2-нитропропен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(2-нитропроп-1-ен-1-ил)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бензен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righ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29 042 000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705-60-2“</w:t>
            </w:r>
          </w:p>
        </w:tc>
      </w:tr>
    </w:tbl>
    <w:p w:rsidR="00E778E4" w:rsidRPr="00E778E4" w:rsidRDefault="00E778E4" w:rsidP="00E778E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78E4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2" style="width:63.5pt;height:.75pt" o:hrpct="0" o:hralign="center" o:hrstd="t" o:hrnoshade="t" o:hr="t" fillcolor="black" stroked="f"/>
        </w:pict>
      </w:r>
    </w:p>
    <w:p w:rsid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</w:p>
    <w:p w:rsidR="00E778E4" w:rsidRPr="00E778E4" w:rsidRDefault="00E778E4" w:rsidP="00E778E4">
      <w:pPr>
        <w:shd w:val="clear" w:color="auto" w:fill="FFFFFF"/>
        <w:spacing w:before="240" w:after="120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bg-BG"/>
        </w:rPr>
        <w:lastRenderedPageBreak/>
        <w:t>ПРИЛОЖЕНИЕ II</w: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В приложението към Регламент (ЕО) № 111/2005, в описа на включените в списък вещества, в таблицата за категория 1 се вмъкват следните вписвания, в последователност според кода им по КН: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3733"/>
        <w:gridCol w:w="1264"/>
        <w:gridCol w:w="1106"/>
      </w:tblGrid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Вещество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Обозначение по КН (ако е различно)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Код по КН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CAS №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„3’-хлорoпропиофенон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1-(3-хлорофенил)пропан-1-он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34841-35-5“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„2-бромо-3’-хлоропропиофенон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2-бромо-1-(3-хлорофенил)пропан-1-он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34911-51-8“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„4’-метилпропиофенон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1-(4-метилфенил)пропан-1-он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2914 39 00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5337-93-9“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„2-бромо-4’-метилпропиофенон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2-бромо-1-(4-метилфенил)пропан-1-он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1451-82-7“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„3’-метилпропиофенон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1-(3-метилфенил)пропан-1-он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2914 39 00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51772-30-6“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„2-бромо-3’-метилпропиофенон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2-бромо-1-(3-метилфенил)пропан-1-он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1451-83-8“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„4’-хлорoпропиофенон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1-(4-хлорофенил)пропан-1-он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6285-05-8“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„2-бромо-4’-хлоропропиофенон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2-бромо-1-(4-хлорофенил)пропан-1-он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2914 79 00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877-37-2“</w:t>
            </w:r>
          </w:p>
        </w:tc>
      </w:tr>
      <w:tr w:rsidR="00E778E4" w:rsidRPr="00E778E4" w:rsidTr="00E778E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„Фенил-2-нитропропен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(2-нитропроп-1-ен-1-ил)</w:t>
            </w:r>
            <w:proofErr w:type="spellStart"/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бензен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ind w:right="195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2904 20 00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778E4" w:rsidRPr="00E778E4" w:rsidRDefault="00E778E4" w:rsidP="00E778E4">
            <w:pPr>
              <w:spacing w:before="60" w:after="60" w:line="312" w:lineRule="atLeast"/>
              <w:rPr>
                <w:rFonts w:ascii="Times New Roman" w:eastAsia="Times New Roman" w:hAnsi="Times New Roman" w:cs="Times New Roman"/>
                <w:lang w:eastAsia="bg-BG"/>
              </w:rPr>
            </w:pPr>
            <w:r w:rsidRPr="00E778E4">
              <w:rPr>
                <w:rFonts w:ascii="Times New Roman" w:eastAsia="Times New Roman" w:hAnsi="Times New Roman" w:cs="Times New Roman"/>
                <w:lang w:eastAsia="bg-BG"/>
              </w:rPr>
              <w:t>705-60-2“</w:t>
            </w:r>
          </w:p>
        </w:tc>
      </w:tr>
    </w:tbl>
    <w:p w:rsidR="00E778E4" w:rsidRPr="00E778E4" w:rsidRDefault="00E778E4" w:rsidP="00E778E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778E4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3" style="width:635.2pt;height:.75pt" o:hrpct="0" o:hralign="center" o:hrstd="t" o:hrnoshade="t" o:hr="t" fillcolor="black" stroked="f"/>
        </w:pict>
      </w:r>
    </w:p>
    <w:p w:rsidR="00E778E4" w:rsidRPr="00E778E4" w:rsidRDefault="00E778E4" w:rsidP="00E778E4">
      <w:pPr>
        <w:shd w:val="clear" w:color="auto" w:fill="FFFFFF"/>
        <w:spacing w:before="120"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</w:pPr>
      <w:r w:rsidRPr="00E778E4">
        <w:rPr>
          <w:rFonts w:ascii="Times New Roman" w:eastAsia="Times New Roman" w:hAnsi="Times New Roman" w:cs="Times New Roman"/>
          <w:color w:val="333333"/>
          <w:sz w:val="27"/>
          <w:szCs w:val="27"/>
          <w:lang w:eastAsia="bg-BG"/>
        </w:rPr>
        <w:t>ELI: http://data.europa.eu/eli/reg_del/2026/314/oj</w:t>
      </w:r>
    </w:p>
    <w:p w:rsidR="00A60F1E" w:rsidRPr="00E778E4" w:rsidRDefault="00A60F1E" w:rsidP="00E778E4"/>
    <w:sectPr w:rsidR="00A60F1E" w:rsidRPr="00E77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53"/>
    <w:rsid w:val="000D3014"/>
    <w:rsid w:val="001B05B9"/>
    <w:rsid w:val="001C609A"/>
    <w:rsid w:val="002827E9"/>
    <w:rsid w:val="009054F9"/>
    <w:rsid w:val="00965A53"/>
    <w:rsid w:val="009E6509"/>
    <w:rsid w:val="00A60F1E"/>
    <w:rsid w:val="00B90A5C"/>
    <w:rsid w:val="00C90532"/>
    <w:rsid w:val="00CE34E7"/>
    <w:rsid w:val="00E7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D67A"/>
  <w15:chartTrackingRefBased/>
  <w15:docId w15:val="{6A4FA9B8-F2CB-4D37-A947-852DFB97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4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95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7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2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4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84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2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1317">
                  <w:marLeft w:val="810"/>
                  <w:marRight w:val="81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7032">
                      <w:marLeft w:val="4005"/>
                      <w:marRight w:val="8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5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6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9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29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4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1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4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0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0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2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7181">
                  <w:marLeft w:val="810"/>
                  <w:marRight w:val="81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87345">
                      <w:marLeft w:val="4005"/>
                      <w:marRight w:val="8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53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_del/2026/314/oj" TargetMode="External"/><Relationship Id="rId13" Type="http://schemas.openxmlformats.org/officeDocument/2006/relationships/hyperlink" Target="https://eur-lex.europa.eu/legal-content/BG/AUTO/?uri=OJ:L:2005:022:TOC" TargetMode="External"/><Relationship Id="rId18" Type="http://schemas.openxmlformats.org/officeDocument/2006/relationships/hyperlink" Target="https://eur-lex.europa.eu/legal-content/BG/AUTO/?uri=OJ:L:2004:335:T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ur-lex.europa.eu/legal-content/BG/AUTO/?uri=OJ:L:1990:326:TOC" TargetMode="External"/><Relationship Id="rId7" Type="http://schemas.openxmlformats.org/officeDocument/2006/relationships/hyperlink" Target="https://eur-lex.europa.eu/eli/reg_del/2026/314/oj" TargetMode="External"/><Relationship Id="rId12" Type="http://schemas.openxmlformats.org/officeDocument/2006/relationships/hyperlink" Target="https://eur-lex.europa.eu/eli/reg_del/2026/314/oj" TargetMode="External"/><Relationship Id="rId17" Type="http://schemas.openxmlformats.org/officeDocument/2006/relationships/hyperlink" Target="https://eur-lex.europa.eu/eli/reg_del/2026/314/oj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uda.europa.eu/index_bg" TargetMode="External"/><Relationship Id="rId20" Type="http://schemas.openxmlformats.org/officeDocument/2006/relationships/hyperlink" Target="https://eur-lex.europa.eu/eli/reg_del/2026/314/oj" TargetMode="External"/><Relationship Id="rId1" Type="http://schemas.openxmlformats.org/officeDocument/2006/relationships/styles" Target="styles.xml"/><Relationship Id="rId6" Type="http://schemas.openxmlformats.org/officeDocument/2006/relationships/hyperlink" Target="https://eur-lex.europa.eu/eli/reg_del/2026/314/oj" TargetMode="External"/><Relationship Id="rId11" Type="http://schemas.openxmlformats.org/officeDocument/2006/relationships/hyperlink" Target="http://data.europa.eu/eli/reg/2004/273/oj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eur-lex.europa.eu/eli/reg_del/2026/314/oj" TargetMode="External"/><Relationship Id="rId15" Type="http://schemas.openxmlformats.org/officeDocument/2006/relationships/hyperlink" Target="https://eur-lex.europa.eu/eli/reg_del/2026/314/oj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ur-lex.europa.eu/legal-content/BG/AUTO/?uri=OJ:L:2004:047:TOC" TargetMode="External"/><Relationship Id="rId19" Type="http://schemas.openxmlformats.org/officeDocument/2006/relationships/hyperlink" Target="http://data.europa.eu/eli/dec_framw/2004/757/oj" TargetMode="External"/><Relationship Id="rId4" Type="http://schemas.openxmlformats.org/officeDocument/2006/relationships/hyperlink" Target="https://eur-lex.europa.eu/eli/reg_del/2026/314/oj" TargetMode="External"/><Relationship Id="rId9" Type="http://schemas.openxmlformats.org/officeDocument/2006/relationships/hyperlink" Target="https://eur-lex.europa.eu/eli/reg_del/2026/314/oj" TargetMode="External"/><Relationship Id="rId14" Type="http://schemas.openxmlformats.org/officeDocument/2006/relationships/hyperlink" Target="http://data.europa.eu/eli/reg/2005/111/oj" TargetMode="External"/><Relationship Id="rId22" Type="http://schemas.openxmlformats.org/officeDocument/2006/relationships/hyperlink" Target="http://data.europa.eu/eli/dec/1990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2026-05-26T09:02:00Z</dcterms:created>
  <dcterms:modified xsi:type="dcterms:W3CDTF">2026-09-18T08:57:00Z</dcterms:modified>
</cp:coreProperties>
</file>